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NL</w:t>
      </w:r>
    </w:p>
    <w:p w14:paraId="24333E7A" w14:textId="39BCEFA8" w:rsidR="008D696E" w:rsidRDefault="006937D3" w:rsidP="00A33695">
      <w:pPr>
        <w:jc w:val="center"/>
        <w:rPr>
          <w:rFonts w:ascii="Times New Roman" w:hAnsi="Times New Roman"/>
          <w:sz w:val="24"/>
        </w:rPr>
      </w:pPr>
      <w:r>
        <w:rPr>
          <w:rFonts w:ascii="Times New Roman" w:hAnsi="Times New Roman"/>
          <w:sz w:val="24"/>
        </w:rPr>
        <w:t>BIJLAGE</w:t>
      </w:r>
      <w:r w:rsidR="008D696E">
        <w:rPr>
          <w:rFonts w:ascii="Times New Roman" w:hAnsi="Times New Roman"/>
          <w:sz w:val="24"/>
        </w:rPr>
        <w:t xml:space="preserve"> II</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“BIJLAGE XI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INSTRUCTIES VOOR HET RAPPORTEREN VAN HET RtM K-FACTORVEREISTE OP BASIS VAN K-NPR</w:t>
      </w:r>
    </w:p>
    <w:p w14:paraId="3DEB94EC" w14:textId="77777777" w:rsidR="00783881" w:rsidRPr="00696301" w:rsidRDefault="002648B0" w:rsidP="00487A02">
      <w:pPr>
        <w:pStyle w:val="InstructionsText"/>
      </w:pPr>
      <w:r>
        <w:t>Inhoudsopgave</w:t>
      </w:r>
    </w:p>
    <w:p w14:paraId="0777B2AB" w14:textId="3B24BDFD" w:rsidR="00A6566E" w:rsidRDefault="00745369">
      <w:pPr>
        <w:pStyle w:val="TOC2"/>
        <w:rPr>
          <w:rFonts w:asciiTheme="minorHAnsi" w:eastAsiaTheme="minorEastAsia" w:hAnsiTheme="minorHAnsi" w:cstheme="minorBidi"/>
          <w:b w:val="0"/>
          <w:smallCaps w:val="0"/>
          <w:kern w:val="2"/>
          <w:sz w:val="24"/>
          <w:szCs w:val="24"/>
          <w:lang w:eastAsia="nl-NL"/>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822804" w:history="1">
        <w:r w:rsidR="00A6566E" w:rsidRPr="009618D4">
          <w:rPr>
            <w:rStyle w:val="Hyperlink"/>
            <w:rFonts w:ascii="Times New Roman" w:hAnsi="Times New Roman"/>
          </w:rPr>
          <w:t>DEEL I: ALGEMENE INSTRUCTIES</w:t>
        </w:r>
        <w:r w:rsidR="00A6566E">
          <w:rPr>
            <w:webHidden/>
          </w:rPr>
          <w:tab/>
        </w:r>
        <w:r w:rsidR="00A6566E">
          <w:rPr>
            <w:webHidden/>
          </w:rPr>
          <w:fldChar w:fldCharType="begin"/>
        </w:r>
        <w:r w:rsidR="00A6566E">
          <w:rPr>
            <w:webHidden/>
          </w:rPr>
          <w:instrText xml:space="preserve"> PAGEREF _Toc210822804 \h </w:instrText>
        </w:r>
        <w:r w:rsidR="00A6566E">
          <w:rPr>
            <w:webHidden/>
          </w:rPr>
        </w:r>
        <w:r w:rsidR="00A6566E">
          <w:rPr>
            <w:webHidden/>
          </w:rPr>
          <w:fldChar w:fldCharType="separate"/>
        </w:r>
        <w:r w:rsidR="0006303A">
          <w:rPr>
            <w:webHidden/>
          </w:rPr>
          <w:t>2</w:t>
        </w:r>
        <w:r w:rsidR="00A6566E">
          <w:rPr>
            <w:webHidden/>
          </w:rPr>
          <w:fldChar w:fldCharType="end"/>
        </w:r>
      </w:hyperlink>
    </w:p>
    <w:p w14:paraId="160DF236" w14:textId="4ABFFF00"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05" w:history="1">
        <w:r w:rsidRPr="009618D4">
          <w:rPr>
            <w:rStyle w:val="Hyperlink"/>
            <w:rFonts w:ascii="Times New Roman" w:hAnsi="Times New Roman"/>
          </w:rPr>
          <w:t>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CONVENTIES</w:t>
        </w:r>
        <w:r>
          <w:rPr>
            <w:webHidden/>
          </w:rPr>
          <w:tab/>
        </w:r>
        <w:r>
          <w:rPr>
            <w:webHidden/>
          </w:rPr>
          <w:fldChar w:fldCharType="begin"/>
        </w:r>
        <w:r>
          <w:rPr>
            <w:webHidden/>
          </w:rPr>
          <w:instrText xml:space="preserve"> PAGEREF _Toc210822805 \h </w:instrText>
        </w:r>
        <w:r>
          <w:rPr>
            <w:webHidden/>
          </w:rPr>
        </w:r>
        <w:r>
          <w:rPr>
            <w:webHidden/>
          </w:rPr>
          <w:fldChar w:fldCharType="separate"/>
        </w:r>
        <w:r w:rsidR="0006303A">
          <w:rPr>
            <w:webHidden/>
          </w:rPr>
          <w:t>2</w:t>
        </w:r>
        <w:r>
          <w:rPr>
            <w:webHidden/>
          </w:rPr>
          <w:fldChar w:fldCharType="end"/>
        </w:r>
      </w:hyperlink>
    </w:p>
    <w:p w14:paraId="3011BBEA" w14:textId="0D2F81C6"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06" w:history="1">
        <w:r w:rsidRPr="009618D4">
          <w:rPr>
            <w:rStyle w:val="Hyperlink"/>
            <w:rFonts w:ascii="Times New Roman" w:hAnsi="Times New Roman"/>
          </w:rPr>
          <w:t>1.1.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Gebruik van nummering</w:t>
        </w:r>
        <w:r>
          <w:rPr>
            <w:webHidden/>
          </w:rPr>
          <w:tab/>
        </w:r>
        <w:r>
          <w:rPr>
            <w:webHidden/>
          </w:rPr>
          <w:fldChar w:fldCharType="begin"/>
        </w:r>
        <w:r>
          <w:rPr>
            <w:webHidden/>
          </w:rPr>
          <w:instrText xml:space="preserve"> PAGEREF _Toc210822806 \h </w:instrText>
        </w:r>
        <w:r>
          <w:rPr>
            <w:webHidden/>
          </w:rPr>
        </w:r>
        <w:r>
          <w:rPr>
            <w:webHidden/>
          </w:rPr>
          <w:fldChar w:fldCharType="separate"/>
        </w:r>
        <w:r w:rsidR="0006303A">
          <w:rPr>
            <w:webHidden/>
          </w:rPr>
          <w:t>2</w:t>
        </w:r>
        <w:r>
          <w:rPr>
            <w:webHidden/>
          </w:rPr>
          <w:fldChar w:fldCharType="end"/>
        </w:r>
      </w:hyperlink>
    </w:p>
    <w:p w14:paraId="3362BF9F" w14:textId="1E0202E4"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07" w:history="1">
        <w:r w:rsidRPr="009618D4">
          <w:rPr>
            <w:rStyle w:val="Hyperlink"/>
            <w:rFonts w:ascii="Times New Roman" w:hAnsi="Times New Roman"/>
          </w:rPr>
          <w:t>1.2.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Tekenconventie</w:t>
        </w:r>
        <w:r>
          <w:rPr>
            <w:webHidden/>
          </w:rPr>
          <w:tab/>
        </w:r>
        <w:r>
          <w:rPr>
            <w:webHidden/>
          </w:rPr>
          <w:fldChar w:fldCharType="begin"/>
        </w:r>
        <w:r>
          <w:rPr>
            <w:webHidden/>
          </w:rPr>
          <w:instrText xml:space="preserve"> PAGEREF _Toc210822807 \h </w:instrText>
        </w:r>
        <w:r>
          <w:rPr>
            <w:webHidden/>
          </w:rPr>
        </w:r>
        <w:r>
          <w:rPr>
            <w:webHidden/>
          </w:rPr>
          <w:fldChar w:fldCharType="separate"/>
        </w:r>
        <w:r w:rsidR="0006303A">
          <w:rPr>
            <w:webHidden/>
          </w:rPr>
          <w:t>2</w:t>
        </w:r>
        <w:r>
          <w:rPr>
            <w:webHidden/>
          </w:rPr>
          <w:fldChar w:fldCharType="end"/>
        </w:r>
      </w:hyperlink>
    </w:p>
    <w:p w14:paraId="6E5E18C4" w14:textId="72788D9E"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08" w:history="1">
        <w:r w:rsidRPr="009618D4">
          <w:rPr>
            <w:rStyle w:val="Hyperlink"/>
            <w:rFonts w:ascii="Times New Roman" w:hAnsi="Times New Roman"/>
          </w:rPr>
          <w:t>1.3.</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Verwijzingen naar Verordening (EU) nr. 575/2013</w:t>
        </w:r>
        <w:r>
          <w:rPr>
            <w:webHidden/>
          </w:rPr>
          <w:tab/>
        </w:r>
        <w:r>
          <w:rPr>
            <w:webHidden/>
          </w:rPr>
          <w:fldChar w:fldCharType="begin"/>
        </w:r>
        <w:r>
          <w:rPr>
            <w:webHidden/>
          </w:rPr>
          <w:instrText xml:space="preserve"> PAGEREF _Toc210822808 \h </w:instrText>
        </w:r>
        <w:r>
          <w:rPr>
            <w:webHidden/>
          </w:rPr>
        </w:r>
        <w:r>
          <w:rPr>
            <w:webHidden/>
          </w:rPr>
          <w:fldChar w:fldCharType="separate"/>
        </w:r>
        <w:r w:rsidR="0006303A">
          <w:rPr>
            <w:webHidden/>
          </w:rPr>
          <w:t>2</w:t>
        </w:r>
        <w:r>
          <w:rPr>
            <w:webHidden/>
          </w:rPr>
          <w:fldChar w:fldCharType="end"/>
        </w:r>
      </w:hyperlink>
    </w:p>
    <w:p w14:paraId="2AE90786" w14:textId="769E9394"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09" w:history="1">
        <w:r w:rsidRPr="009618D4">
          <w:rPr>
            <w:rStyle w:val="Hyperlink"/>
            <w:rFonts w:ascii="Times New Roman" w:hAnsi="Times New Roman"/>
          </w:rPr>
          <w:t>DEEL II: INSTRUCTIES MET BETREKKING TOT DE TEMPLATES: TEMPLATES VOOR MARKTRISICO</w:t>
        </w:r>
        <w:r>
          <w:rPr>
            <w:webHidden/>
          </w:rPr>
          <w:tab/>
        </w:r>
        <w:r>
          <w:rPr>
            <w:webHidden/>
          </w:rPr>
          <w:fldChar w:fldCharType="begin"/>
        </w:r>
        <w:r>
          <w:rPr>
            <w:webHidden/>
          </w:rPr>
          <w:instrText xml:space="preserve"> PAGEREF _Toc210822809 \h </w:instrText>
        </w:r>
        <w:r>
          <w:rPr>
            <w:webHidden/>
          </w:rPr>
        </w:r>
        <w:r>
          <w:rPr>
            <w:webHidden/>
          </w:rPr>
          <w:fldChar w:fldCharType="separate"/>
        </w:r>
        <w:r w:rsidR="0006303A">
          <w:rPr>
            <w:webHidden/>
          </w:rPr>
          <w:t>3</w:t>
        </w:r>
        <w:r>
          <w:rPr>
            <w:webHidden/>
          </w:rPr>
          <w:fldChar w:fldCharType="end"/>
        </w:r>
      </w:hyperlink>
    </w:p>
    <w:p w14:paraId="48D25DF2" w14:textId="5C30C2B6"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0" w:history="1">
        <w:r w:rsidRPr="009618D4">
          <w:rPr>
            <w:rStyle w:val="Hyperlink"/>
            <w:rFonts w:ascii="Times New Roman" w:hAnsi="Times New Roman"/>
          </w:rPr>
          <w:t>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Algemene opmerkingen</w:t>
        </w:r>
        <w:r>
          <w:rPr>
            <w:webHidden/>
          </w:rPr>
          <w:tab/>
        </w:r>
        <w:r>
          <w:rPr>
            <w:webHidden/>
          </w:rPr>
          <w:fldChar w:fldCharType="begin"/>
        </w:r>
        <w:r>
          <w:rPr>
            <w:webHidden/>
          </w:rPr>
          <w:instrText xml:space="preserve"> PAGEREF _Toc210822810 \h </w:instrText>
        </w:r>
        <w:r>
          <w:rPr>
            <w:webHidden/>
          </w:rPr>
        </w:r>
        <w:r>
          <w:rPr>
            <w:webHidden/>
          </w:rPr>
          <w:fldChar w:fldCharType="separate"/>
        </w:r>
        <w:r w:rsidR="0006303A">
          <w:rPr>
            <w:webHidden/>
          </w:rPr>
          <w:t>3</w:t>
        </w:r>
        <w:r>
          <w:rPr>
            <w:webHidden/>
          </w:rPr>
          <w:fldChar w:fldCharType="end"/>
        </w:r>
      </w:hyperlink>
    </w:p>
    <w:p w14:paraId="496AE494" w14:textId="5EE6C77C"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1" w:history="1">
        <w:r w:rsidRPr="009618D4">
          <w:rPr>
            <w:rStyle w:val="Hyperlink"/>
            <w:rFonts w:ascii="Times New Roman" w:hAnsi="Times New Roman"/>
          </w:rPr>
          <w:t>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C 18.00 – Marktrisico: Standaardbenadering van positierisico’s in verhandelbare schuldinstrumenten (MKR SA TDI)</w:t>
        </w:r>
        <w:r>
          <w:rPr>
            <w:webHidden/>
          </w:rPr>
          <w:tab/>
        </w:r>
        <w:r>
          <w:rPr>
            <w:webHidden/>
          </w:rPr>
          <w:fldChar w:fldCharType="begin"/>
        </w:r>
        <w:r>
          <w:rPr>
            <w:webHidden/>
          </w:rPr>
          <w:instrText xml:space="preserve"> PAGEREF _Toc210822811 \h </w:instrText>
        </w:r>
        <w:r>
          <w:rPr>
            <w:webHidden/>
          </w:rPr>
        </w:r>
        <w:r>
          <w:rPr>
            <w:webHidden/>
          </w:rPr>
          <w:fldChar w:fldCharType="separate"/>
        </w:r>
        <w:r w:rsidR="0006303A">
          <w:rPr>
            <w:webHidden/>
          </w:rPr>
          <w:t>3</w:t>
        </w:r>
        <w:r>
          <w:rPr>
            <w:webHidden/>
          </w:rPr>
          <w:fldChar w:fldCharType="end"/>
        </w:r>
      </w:hyperlink>
    </w:p>
    <w:p w14:paraId="24CFEF8A" w14:textId="53E79E6F"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2" w:history="1">
        <w:r w:rsidRPr="009618D4">
          <w:rPr>
            <w:rStyle w:val="Hyperlink"/>
            <w:rFonts w:ascii="Times New Roman" w:hAnsi="Times New Roman"/>
          </w:rPr>
          <w:t>2.1.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Algemene opmerkingen</w:t>
        </w:r>
        <w:r>
          <w:rPr>
            <w:webHidden/>
          </w:rPr>
          <w:tab/>
        </w:r>
        <w:r>
          <w:rPr>
            <w:webHidden/>
          </w:rPr>
          <w:fldChar w:fldCharType="begin"/>
        </w:r>
        <w:r>
          <w:rPr>
            <w:webHidden/>
          </w:rPr>
          <w:instrText xml:space="preserve"> PAGEREF _Toc210822812 \h </w:instrText>
        </w:r>
        <w:r>
          <w:rPr>
            <w:webHidden/>
          </w:rPr>
        </w:r>
        <w:r>
          <w:rPr>
            <w:webHidden/>
          </w:rPr>
          <w:fldChar w:fldCharType="separate"/>
        </w:r>
        <w:r w:rsidR="0006303A">
          <w:rPr>
            <w:webHidden/>
          </w:rPr>
          <w:t>3</w:t>
        </w:r>
        <w:r>
          <w:rPr>
            <w:webHidden/>
          </w:rPr>
          <w:fldChar w:fldCharType="end"/>
        </w:r>
      </w:hyperlink>
    </w:p>
    <w:p w14:paraId="58253894" w14:textId="3ED74C43"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3" w:history="1">
        <w:r w:rsidRPr="009618D4">
          <w:rPr>
            <w:rStyle w:val="Hyperlink"/>
            <w:rFonts w:ascii="Times New Roman" w:hAnsi="Times New Roman"/>
          </w:rPr>
          <w:t>2.2.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Instructies voor specifieke posities</w:t>
        </w:r>
        <w:r>
          <w:rPr>
            <w:webHidden/>
          </w:rPr>
          <w:tab/>
        </w:r>
        <w:r>
          <w:rPr>
            <w:webHidden/>
          </w:rPr>
          <w:fldChar w:fldCharType="begin"/>
        </w:r>
        <w:r>
          <w:rPr>
            <w:webHidden/>
          </w:rPr>
          <w:instrText xml:space="preserve"> PAGEREF _Toc210822813 \h </w:instrText>
        </w:r>
        <w:r>
          <w:rPr>
            <w:webHidden/>
          </w:rPr>
        </w:r>
        <w:r>
          <w:rPr>
            <w:webHidden/>
          </w:rPr>
          <w:fldChar w:fldCharType="separate"/>
        </w:r>
        <w:r w:rsidR="0006303A">
          <w:rPr>
            <w:webHidden/>
          </w:rPr>
          <w:t>4</w:t>
        </w:r>
        <w:r>
          <w:rPr>
            <w:webHidden/>
          </w:rPr>
          <w:fldChar w:fldCharType="end"/>
        </w:r>
      </w:hyperlink>
    </w:p>
    <w:p w14:paraId="26F86F7E" w14:textId="01B466CA"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4" w:history="1">
        <w:r w:rsidRPr="009618D4">
          <w:rPr>
            <w:rStyle w:val="Hyperlink"/>
            <w:rFonts w:ascii="Times New Roman" w:hAnsi="Times New Roman"/>
          </w:rPr>
          <w:t>3.</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C 19.00 – MARKTRISICO: STANDAARDBENADERING VOOR SPECIFIEK RISICO IN SECURITISATIES (MKR SA SEC)</w:t>
        </w:r>
        <w:r>
          <w:rPr>
            <w:webHidden/>
          </w:rPr>
          <w:tab/>
        </w:r>
        <w:r>
          <w:rPr>
            <w:webHidden/>
          </w:rPr>
          <w:fldChar w:fldCharType="begin"/>
        </w:r>
        <w:r>
          <w:rPr>
            <w:webHidden/>
          </w:rPr>
          <w:instrText xml:space="preserve"> PAGEREF _Toc210822814 \h </w:instrText>
        </w:r>
        <w:r>
          <w:rPr>
            <w:webHidden/>
          </w:rPr>
        </w:r>
        <w:r>
          <w:rPr>
            <w:webHidden/>
          </w:rPr>
          <w:fldChar w:fldCharType="separate"/>
        </w:r>
        <w:r w:rsidR="0006303A">
          <w:rPr>
            <w:webHidden/>
          </w:rPr>
          <w:t>6</w:t>
        </w:r>
        <w:r>
          <w:rPr>
            <w:webHidden/>
          </w:rPr>
          <w:fldChar w:fldCharType="end"/>
        </w:r>
      </w:hyperlink>
    </w:p>
    <w:p w14:paraId="23D9F391" w14:textId="2BD07E63"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5" w:history="1">
        <w:r w:rsidRPr="009618D4">
          <w:rPr>
            <w:rStyle w:val="Hyperlink"/>
            <w:rFonts w:ascii="Times New Roman" w:hAnsi="Times New Roman"/>
          </w:rPr>
          <w:t>3.1.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Algemene opmerkingen</w:t>
        </w:r>
        <w:r>
          <w:rPr>
            <w:webHidden/>
          </w:rPr>
          <w:tab/>
        </w:r>
        <w:r>
          <w:rPr>
            <w:webHidden/>
          </w:rPr>
          <w:fldChar w:fldCharType="begin"/>
        </w:r>
        <w:r>
          <w:rPr>
            <w:webHidden/>
          </w:rPr>
          <w:instrText xml:space="preserve"> PAGEREF _Toc210822815 \h </w:instrText>
        </w:r>
        <w:r>
          <w:rPr>
            <w:webHidden/>
          </w:rPr>
        </w:r>
        <w:r>
          <w:rPr>
            <w:webHidden/>
          </w:rPr>
          <w:fldChar w:fldCharType="separate"/>
        </w:r>
        <w:r w:rsidR="0006303A">
          <w:rPr>
            <w:webHidden/>
          </w:rPr>
          <w:t>6</w:t>
        </w:r>
        <w:r>
          <w:rPr>
            <w:webHidden/>
          </w:rPr>
          <w:fldChar w:fldCharType="end"/>
        </w:r>
      </w:hyperlink>
    </w:p>
    <w:p w14:paraId="7B61BD64" w14:textId="41F7FE7C"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6" w:history="1">
        <w:r w:rsidRPr="009618D4">
          <w:rPr>
            <w:rStyle w:val="Hyperlink"/>
            <w:rFonts w:ascii="Times New Roman" w:hAnsi="Times New Roman"/>
          </w:rPr>
          <w:t>3.2.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Instructies voor specifieke posities</w:t>
        </w:r>
        <w:r>
          <w:rPr>
            <w:webHidden/>
          </w:rPr>
          <w:tab/>
        </w:r>
        <w:r>
          <w:rPr>
            <w:webHidden/>
          </w:rPr>
          <w:fldChar w:fldCharType="begin"/>
        </w:r>
        <w:r>
          <w:rPr>
            <w:webHidden/>
          </w:rPr>
          <w:instrText xml:space="preserve"> PAGEREF _Toc210822816 \h </w:instrText>
        </w:r>
        <w:r>
          <w:rPr>
            <w:webHidden/>
          </w:rPr>
        </w:r>
        <w:r>
          <w:rPr>
            <w:webHidden/>
          </w:rPr>
          <w:fldChar w:fldCharType="separate"/>
        </w:r>
        <w:r w:rsidR="0006303A">
          <w:rPr>
            <w:webHidden/>
          </w:rPr>
          <w:t>7</w:t>
        </w:r>
        <w:r>
          <w:rPr>
            <w:webHidden/>
          </w:rPr>
          <w:fldChar w:fldCharType="end"/>
        </w:r>
      </w:hyperlink>
    </w:p>
    <w:p w14:paraId="6FAB9C9D" w14:textId="0CF21F48"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7" w:history="1">
        <w:r w:rsidRPr="009618D4">
          <w:rPr>
            <w:rStyle w:val="Hyperlink"/>
            <w:rFonts w:ascii="Times New Roman" w:hAnsi="Times New Roman"/>
          </w:rPr>
          <w:t>4.</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C 20.00 – MARKTRISICO: STANDAARDBENADERING VOOR SPECIFIEK RISICO VOOR AAN DE CORRELATIEHANDELSPORTEFEUILLE TOEGEWEZEN POSITIES (MKR SA CTP)</w:t>
        </w:r>
        <w:r>
          <w:rPr>
            <w:webHidden/>
          </w:rPr>
          <w:tab/>
        </w:r>
        <w:r>
          <w:rPr>
            <w:webHidden/>
          </w:rPr>
          <w:fldChar w:fldCharType="begin"/>
        </w:r>
        <w:r>
          <w:rPr>
            <w:webHidden/>
          </w:rPr>
          <w:instrText xml:space="preserve"> PAGEREF _Toc210822817 \h </w:instrText>
        </w:r>
        <w:r>
          <w:rPr>
            <w:webHidden/>
          </w:rPr>
        </w:r>
        <w:r>
          <w:rPr>
            <w:webHidden/>
          </w:rPr>
          <w:fldChar w:fldCharType="separate"/>
        </w:r>
        <w:r w:rsidR="0006303A">
          <w:rPr>
            <w:webHidden/>
          </w:rPr>
          <w:t>9</w:t>
        </w:r>
        <w:r>
          <w:rPr>
            <w:webHidden/>
          </w:rPr>
          <w:fldChar w:fldCharType="end"/>
        </w:r>
      </w:hyperlink>
    </w:p>
    <w:p w14:paraId="25A41378" w14:textId="4D7DDFDF"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8" w:history="1">
        <w:r w:rsidR="0006303A">
          <w:rPr>
            <w:rStyle w:val="Hyperlink"/>
            <w:rFonts w:ascii="Times New Roman" w:hAnsi="Times New Roman"/>
          </w:rPr>
          <w:t>4.</w:t>
        </w:r>
        <w:r w:rsidRPr="009618D4">
          <w:rPr>
            <w:rStyle w:val="Hyperlink"/>
            <w:rFonts w:ascii="Times New Roman" w:hAnsi="Times New Roman"/>
          </w:rPr>
          <w:t>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Algemene opmerkingen</w:t>
        </w:r>
        <w:r>
          <w:rPr>
            <w:webHidden/>
          </w:rPr>
          <w:tab/>
        </w:r>
        <w:r>
          <w:rPr>
            <w:webHidden/>
          </w:rPr>
          <w:fldChar w:fldCharType="begin"/>
        </w:r>
        <w:r>
          <w:rPr>
            <w:webHidden/>
          </w:rPr>
          <w:instrText xml:space="preserve"> PAGEREF _Toc210822818 \h </w:instrText>
        </w:r>
        <w:r>
          <w:rPr>
            <w:webHidden/>
          </w:rPr>
        </w:r>
        <w:r>
          <w:rPr>
            <w:webHidden/>
          </w:rPr>
          <w:fldChar w:fldCharType="separate"/>
        </w:r>
        <w:r w:rsidR="0006303A">
          <w:rPr>
            <w:webHidden/>
          </w:rPr>
          <w:t>9</w:t>
        </w:r>
        <w:r>
          <w:rPr>
            <w:webHidden/>
          </w:rPr>
          <w:fldChar w:fldCharType="end"/>
        </w:r>
      </w:hyperlink>
    </w:p>
    <w:p w14:paraId="228BB3BE" w14:textId="7621DDCE"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19" w:history="1">
        <w:r w:rsidRPr="009618D4">
          <w:rPr>
            <w:rStyle w:val="Hyperlink"/>
            <w:rFonts w:ascii="Times New Roman" w:hAnsi="Times New Roman"/>
          </w:rPr>
          <w:t>4.2.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Instructies voor specifieke posities</w:t>
        </w:r>
        <w:r>
          <w:rPr>
            <w:webHidden/>
          </w:rPr>
          <w:tab/>
        </w:r>
        <w:r>
          <w:rPr>
            <w:webHidden/>
          </w:rPr>
          <w:fldChar w:fldCharType="begin"/>
        </w:r>
        <w:r>
          <w:rPr>
            <w:webHidden/>
          </w:rPr>
          <w:instrText xml:space="preserve"> PAGEREF _Toc210822819 \h </w:instrText>
        </w:r>
        <w:r>
          <w:rPr>
            <w:webHidden/>
          </w:rPr>
        </w:r>
        <w:r>
          <w:rPr>
            <w:webHidden/>
          </w:rPr>
          <w:fldChar w:fldCharType="separate"/>
        </w:r>
        <w:r w:rsidR="0006303A">
          <w:rPr>
            <w:webHidden/>
          </w:rPr>
          <w:t>9</w:t>
        </w:r>
        <w:r>
          <w:rPr>
            <w:webHidden/>
          </w:rPr>
          <w:fldChar w:fldCharType="end"/>
        </w:r>
      </w:hyperlink>
    </w:p>
    <w:p w14:paraId="647B4EFF" w14:textId="671D62F5"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0" w:history="1">
        <w:r w:rsidRPr="009618D4">
          <w:rPr>
            <w:rStyle w:val="Hyperlink"/>
            <w:rFonts w:ascii="Times New Roman" w:hAnsi="Times New Roman"/>
          </w:rPr>
          <w:t>5.</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C 21.00 – Marktrisico: Standaardbenadering voor positierisico in aandelen (MKR SA EQU)</w:t>
        </w:r>
        <w:r>
          <w:rPr>
            <w:webHidden/>
          </w:rPr>
          <w:tab/>
        </w:r>
        <w:r>
          <w:rPr>
            <w:webHidden/>
          </w:rPr>
          <w:fldChar w:fldCharType="begin"/>
        </w:r>
        <w:r>
          <w:rPr>
            <w:webHidden/>
          </w:rPr>
          <w:instrText xml:space="preserve"> PAGEREF _Toc210822820 \h </w:instrText>
        </w:r>
        <w:r>
          <w:rPr>
            <w:webHidden/>
          </w:rPr>
        </w:r>
        <w:r>
          <w:rPr>
            <w:webHidden/>
          </w:rPr>
          <w:fldChar w:fldCharType="separate"/>
        </w:r>
        <w:r w:rsidR="0006303A">
          <w:rPr>
            <w:webHidden/>
          </w:rPr>
          <w:t>12</w:t>
        </w:r>
        <w:r>
          <w:rPr>
            <w:webHidden/>
          </w:rPr>
          <w:fldChar w:fldCharType="end"/>
        </w:r>
      </w:hyperlink>
    </w:p>
    <w:p w14:paraId="699277B5" w14:textId="0AD0BC41"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1" w:history="1">
        <w:r w:rsidRPr="009618D4">
          <w:rPr>
            <w:rStyle w:val="Hyperlink"/>
            <w:rFonts w:ascii="Times New Roman" w:hAnsi="Times New Roman"/>
          </w:rPr>
          <w:t>5.1.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Algemene opmerkingen</w:t>
        </w:r>
        <w:r>
          <w:rPr>
            <w:webHidden/>
          </w:rPr>
          <w:tab/>
        </w:r>
        <w:r>
          <w:rPr>
            <w:webHidden/>
          </w:rPr>
          <w:fldChar w:fldCharType="begin"/>
        </w:r>
        <w:r>
          <w:rPr>
            <w:webHidden/>
          </w:rPr>
          <w:instrText xml:space="preserve"> PAGEREF _Toc210822821 \h </w:instrText>
        </w:r>
        <w:r>
          <w:rPr>
            <w:webHidden/>
          </w:rPr>
        </w:r>
        <w:r>
          <w:rPr>
            <w:webHidden/>
          </w:rPr>
          <w:fldChar w:fldCharType="separate"/>
        </w:r>
        <w:r w:rsidR="0006303A">
          <w:rPr>
            <w:webHidden/>
          </w:rPr>
          <w:t>12</w:t>
        </w:r>
        <w:r>
          <w:rPr>
            <w:webHidden/>
          </w:rPr>
          <w:fldChar w:fldCharType="end"/>
        </w:r>
      </w:hyperlink>
    </w:p>
    <w:p w14:paraId="33074A40" w14:textId="4C4A18F5"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2" w:history="1">
        <w:r w:rsidRPr="009618D4">
          <w:rPr>
            <w:rStyle w:val="Hyperlink"/>
            <w:rFonts w:ascii="Times New Roman" w:hAnsi="Times New Roman"/>
          </w:rPr>
          <w:t>5.2.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Instructies voor specifieke posities</w:t>
        </w:r>
        <w:r>
          <w:rPr>
            <w:webHidden/>
          </w:rPr>
          <w:tab/>
        </w:r>
        <w:r>
          <w:rPr>
            <w:webHidden/>
          </w:rPr>
          <w:fldChar w:fldCharType="begin"/>
        </w:r>
        <w:r>
          <w:rPr>
            <w:webHidden/>
          </w:rPr>
          <w:instrText xml:space="preserve"> PAGEREF _Toc210822822 \h </w:instrText>
        </w:r>
        <w:r>
          <w:rPr>
            <w:webHidden/>
          </w:rPr>
        </w:r>
        <w:r>
          <w:rPr>
            <w:webHidden/>
          </w:rPr>
          <w:fldChar w:fldCharType="separate"/>
        </w:r>
        <w:r w:rsidR="0006303A">
          <w:rPr>
            <w:webHidden/>
          </w:rPr>
          <w:t>12</w:t>
        </w:r>
        <w:r>
          <w:rPr>
            <w:webHidden/>
          </w:rPr>
          <w:fldChar w:fldCharType="end"/>
        </w:r>
      </w:hyperlink>
    </w:p>
    <w:p w14:paraId="39B83784" w14:textId="5031B20A"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3" w:history="1">
        <w:r w:rsidRPr="009618D4">
          <w:rPr>
            <w:rStyle w:val="Hyperlink"/>
            <w:rFonts w:ascii="Times New Roman" w:hAnsi="Times New Roman"/>
          </w:rPr>
          <w:t>6.</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C 22.00 – Marktrisico: Standaardbenaderingen voor valutarisico (MKR SA FX)</w:t>
        </w:r>
        <w:r>
          <w:rPr>
            <w:webHidden/>
          </w:rPr>
          <w:tab/>
        </w:r>
        <w:r>
          <w:rPr>
            <w:webHidden/>
          </w:rPr>
          <w:fldChar w:fldCharType="begin"/>
        </w:r>
        <w:r>
          <w:rPr>
            <w:webHidden/>
          </w:rPr>
          <w:instrText xml:space="preserve"> PAGEREF _Toc210822823 \h </w:instrText>
        </w:r>
        <w:r>
          <w:rPr>
            <w:webHidden/>
          </w:rPr>
        </w:r>
        <w:r>
          <w:rPr>
            <w:webHidden/>
          </w:rPr>
          <w:fldChar w:fldCharType="separate"/>
        </w:r>
        <w:r w:rsidR="0006303A">
          <w:rPr>
            <w:webHidden/>
          </w:rPr>
          <w:t>14</w:t>
        </w:r>
        <w:r>
          <w:rPr>
            <w:webHidden/>
          </w:rPr>
          <w:fldChar w:fldCharType="end"/>
        </w:r>
      </w:hyperlink>
    </w:p>
    <w:p w14:paraId="6B369A9E" w14:textId="45992D50"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4" w:history="1">
        <w:r w:rsidRPr="009618D4">
          <w:rPr>
            <w:rStyle w:val="Hyperlink"/>
            <w:rFonts w:ascii="Times New Roman" w:hAnsi="Times New Roman"/>
          </w:rPr>
          <w:t>6.1.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Algemene opmerkingen</w:t>
        </w:r>
        <w:r>
          <w:rPr>
            <w:webHidden/>
          </w:rPr>
          <w:tab/>
        </w:r>
        <w:r>
          <w:rPr>
            <w:webHidden/>
          </w:rPr>
          <w:fldChar w:fldCharType="begin"/>
        </w:r>
        <w:r>
          <w:rPr>
            <w:webHidden/>
          </w:rPr>
          <w:instrText xml:space="preserve"> PAGEREF _Toc210822824 \h </w:instrText>
        </w:r>
        <w:r>
          <w:rPr>
            <w:webHidden/>
          </w:rPr>
        </w:r>
        <w:r>
          <w:rPr>
            <w:webHidden/>
          </w:rPr>
          <w:fldChar w:fldCharType="separate"/>
        </w:r>
        <w:r w:rsidR="0006303A">
          <w:rPr>
            <w:webHidden/>
          </w:rPr>
          <w:t>14</w:t>
        </w:r>
        <w:r>
          <w:rPr>
            <w:webHidden/>
          </w:rPr>
          <w:fldChar w:fldCharType="end"/>
        </w:r>
      </w:hyperlink>
    </w:p>
    <w:p w14:paraId="28D68D2C" w14:textId="35DA3908"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5" w:history="1">
        <w:r w:rsidRPr="009618D4">
          <w:rPr>
            <w:rStyle w:val="Hyperlink"/>
            <w:rFonts w:ascii="Times New Roman" w:hAnsi="Times New Roman"/>
          </w:rPr>
          <w:t>6.2.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Instructies voor specifieke posities</w:t>
        </w:r>
        <w:r>
          <w:rPr>
            <w:webHidden/>
          </w:rPr>
          <w:tab/>
        </w:r>
        <w:r>
          <w:rPr>
            <w:webHidden/>
          </w:rPr>
          <w:fldChar w:fldCharType="begin"/>
        </w:r>
        <w:r>
          <w:rPr>
            <w:webHidden/>
          </w:rPr>
          <w:instrText xml:space="preserve"> PAGEREF _Toc210822825 \h </w:instrText>
        </w:r>
        <w:r>
          <w:rPr>
            <w:webHidden/>
          </w:rPr>
        </w:r>
        <w:r>
          <w:rPr>
            <w:webHidden/>
          </w:rPr>
          <w:fldChar w:fldCharType="separate"/>
        </w:r>
        <w:r w:rsidR="0006303A">
          <w:rPr>
            <w:webHidden/>
          </w:rPr>
          <w:t>15</w:t>
        </w:r>
        <w:r>
          <w:rPr>
            <w:webHidden/>
          </w:rPr>
          <w:fldChar w:fldCharType="end"/>
        </w:r>
      </w:hyperlink>
    </w:p>
    <w:p w14:paraId="49F28882" w14:textId="2FD80541"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6" w:history="1">
        <w:r w:rsidRPr="009618D4">
          <w:rPr>
            <w:rStyle w:val="Hyperlink"/>
            <w:rFonts w:ascii="Times New Roman" w:hAnsi="Times New Roman"/>
          </w:rPr>
          <w:t>7.</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C 23.00 – Marktrisico: Standaardbenaderingen voor grondstoffen (MKR SA COM)</w:t>
        </w:r>
        <w:r>
          <w:rPr>
            <w:webHidden/>
          </w:rPr>
          <w:tab/>
        </w:r>
        <w:r>
          <w:rPr>
            <w:webHidden/>
          </w:rPr>
          <w:fldChar w:fldCharType="begin"/>
        </w:r>
        <w:r>
          <w:rPr>
            <w:webHidden/>
          </w:rPr>
          <w:instrText xml:space="preserve"> PAGEREF _Toc210822826 \h </w:instrText>
        </w:r>
        <w:r>
          <w:rPr>
            <w:webHidden/>
          </w:rPr>
        </w:r>
        <w:r>
          <w:rPr>
            <w:webHidden/>
          </w:rPr>
          <w:fldChar w:fldCharType="separate"/>
        </w:r>
        <w:r w:rsidR="0006303A">
          <w:rPr>
            <w:webHidden/>
          </w:rPr>
          <w:t>18</w:t>
        </w:r>
        <w:r>
          <w:rPr>
            <w:webHidden/>
          </w:rPr>
          <w:fldChar w:fldCharType="end"/>
        </w:r>
      </w:hyperlink>
    </w:p>
    <w:p w14:paraId="786BAD8D" w14:textId="73D51F5B"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7" w:history="1">
        <w:r w:rsidRPr="009618D4">
          <w:rPr>
            <w:rStyle w:val="Hyperlink"/>
            <w:rFonts w:ascii="Times New Roman" w:hAnsi="Times New Roman"/>
          </w:rPr>
          <w:t>7.1.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Algemene opmerkingen</w:t>
        </w:r>
        <w:r>
          <w:rPr>
            <w:webHidden/>
          </w:rPr>
          <w:tab/>
        </w:r>
        <w:r>
          <w:rPr>
            <w:webHidden/>
          </w:rPr>
          <w:fldChar w:fldCharType="begin"/>
        </w:r>
        <w:r>
          <w:rPr>
            <w:webHidden/>
          </w:rPr>
          <w:instrText xml:space="preserve"> PAGEREF _Toc210822827 \h </w:instrText>
        </w:r>
        <w:r>
          <w:rPr>
            <w:webHidden/>
          </w:rPr>
        </w:r>
        <w:r>
          <w:rPr>
            <w:webHidden/>
          </w:rPr>
          <w:fldChar w:fldCharType="separate"/>
        </w:r>
        <w:r w:rsidR="0006303A">
          <w:rPr>
            <w:webHidden/>
          </w:rPr>
          <w:t>18</w:t>
        </w:r>
        <w:r>
          <w:rPr>
            <w:webHidden/>
          </w:rPr>
          <w:fldChar w:fldCharType="end"/>
        </w:r>
      </w:hyperlink>
    </w:p>
    <w:p w14:paraId="55EE019E" w14:textId="65CE9074"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8" w:history="1">
        <w:r w:rsidRPr="009618D4">
          <w:rPr>
            <w:rStyle w:val="Hyperlink"/>
            <w:rFonts w:ascii="Times New Roman" w:hAnsi="Times New Roman"/>
          </w:rPr>
          <w:t>7.2.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Instructies voor specifieke posities</w:t>
        </w:r>
        <w:r>
          <w:rPr>
            <w:webHidden/>
          </w:rPr>
          <w:tab/>
        </w:r>
        <w:r>
          <w:rPr>
            <w:webHidden/>
          </w:rPr>
          <w:fldChar w:fldCharType="begin"/>
        </w:r>
        <w:r>
          <w:rPr>
            <w:webHidden/>
          </w:rPr>
          <w:instrText xml:space="preserve"> PAGEREF _Toc210822828 \h </w:instrText>
        </w:r>
        <w:r>
          <w:rPr>
            <w:webHidden/>
          </w:rPr>
        </w:r>
        <w:r>
          <w:rPr>
            <w:webHidden/>
          </w:rPr>
          <w:fldChar w:fldCharType="separate"/>
        </w:r>
        <w:r w:rsidR="0006303A">
          <w:rPr>
            <w:webHidden/>
          </w:rPr>
          <w:t>18</w:t>
        </w:r>
        <w:r>
          <w:rPr>
            <w:webHidden/>
          </w:rPr>
          <w:fldChar w:fldCharType="end"/>
        </w:r>
      </w:hyperlink>
    </w:p>
    <w:p w14:paraId="26C0ECEE" w14:textId="6B9F45E6"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29" w:history="1">
        <w:r w:rsidRPr="009618D4">
          <w:rPr>
            <w:rStyle w:val="Hyperlink"/>
            <w:rFonts w:ascii="Times New Roman" w:hAnsi="Times New Roman"/>
          </w:rPr>
          <w:t>8.</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C 24.00 – Interne modellen voor marktrisico (MKR IM)</w:t>
        </w:r>
        <w:r>
          <w:rPr>
            <w:webHidden/>
          </w:rPr>
          <w:tab/>
        </w:r>
        <w:r>
          <w:rPr>
            <w:webHidden/>
          </w:rPr>
          <w:fldChar w:fldCharType="begin"/>
        </w:r>
        <w:r>
          <w:rPr>
            <w:webHidden/>
          </w:rPr>
          <w:instrText xml:space="preserve"> PAGEREF _Toc210822829 \h </w:instrText>
        </w:r>
        <w:r>
          <w:rPr>
            <w:webHidden/>
          </w:rPr>
        </w:r>
        <w:r>
          <w:rPr>
            <w:webHidden/>
          </w:rPr>
          <w:fldChar w:fldCharType="separate"/>
        </w:r>
        <w:r w:rsidR="0006303A">
          <w:rPr>
            <w:webHidden/>
          </w:rPr>
          <w:t>20</w:t>
        </w:r>
        <w:r>
          <w:rPr>
            <w:webHidden/>
          </w:rPr>
          <w:fldChar w:fldCharType="end"/>
        </w:r>
      </w:hyperlink>
    </w:p>
    <w:p w14:paraId="524E3AD4" w14:textId="0AC23C2B"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30" w:history="1">
        <w:r w:rsidRPr="009618D4">
          <w:rPr>
            <w:rStyle w:val="Hyperlink"/>
            <w:rFonts w:ascii="Times New Roman" w:hAnsi="Times New Roman"/>
          </w:rPr>
          <w:t>8.1.</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Algemene opmerkingen</w:t>
        </w:r>
        <w:r>
          <w:rPr>
            <w:webHidden/>
          </w:rPr>
          <w:tab/>
        </w:r>
        <w:r>
          <w:rPr>
            <w:webHidden/>
          </w:rPr>
          <w:fldChar w:fldCharType="begin"/>
        </w:r>
        <w:r>
          <w:rPr>
            <w:webHidden/>
          </w:rPr>
          <w:instrText xml:space="preserve"> PAGEREF _Toc210822830 \h </w:instrText>
        </w:r>
        <w:r>
          <w:rPr>
            <w:webHidden/>
          </w:rPr>
        </w:r>
        <w:r>
          <w:rPr>
            <w:webHidden/>
          </w:rPr>
          <w:fldChar w:fldCharType="separate"/>
        </w:r>
        <w:r w:rsidR="0006303A">
          <w:rPr>
            <w:webHidden/>
          </w:rPr>
          <w:t>20</w:t>
        </w:r>
        <w:r>
          <w:rPr>
            <w:webHidden/>
          </w:rPr>
          <w:fldChar w:fldCharType="end"/>
        </w:r>
      </w:hyperlink>
    </w:p>
    <w:p w14:paraId="1E33C516" w14:textId="77C0F90C" w:rsidR="00A6566E" w:rsidRDefault="00A6566E">
      <w:pPr>
        <w:pStyle w:val="TOC2"/>
        <w:rPr>
          <w:rFonts w:asciiTheme="minorHAnsi" w:eastAsiaTheme="minorEastAsia" w:hAnsiTheme="minorHAnsi" w:cstheme="minorBidi"/>
          <w:b w:val="0"/>
          <w:smallCaps w:val="0"/>
          <w:kern w:val="2"/>
          <w:sz w:val="24"/>
          <w:szCs w:val="24"/>
          <w:lang w:eastAsia="nl-NL"/>
          <w14:ligatures w14:val="standardContextual"/>
        </w:rPr>
      </w:pPr>
      <w:hyperlink w:anchor="_Toc210822831" w:history="1">
        <w:r w:rsidRPr="009618D4">
          <w:rPr>
            <w:rStyle w:val="Hyperlink"/>
            <w:rFonts w:ascii="Times New Roman" w:hAnsi="Times New Roman"/>
          </w:rPr>
          <w:t>8.2.</w:t>
        </w:r>
        <w:r>
          <w:rPr>
            <w:rFonts w:asciiTheme="minorHAnsi" w:eastAsiaTheme="minorEastAsia" w:hAnsiTheme="minorHAnsi" w:cstheme="minorBidi"/>
            <w:b w:val="0"/>
            <w:smallCaps w:val="0"/>
            <w:kern w:val="2"/>
            <w:sz w:val="24"/>
            <w:szCs w:val="24"/>
            <w:lang w:eastAsia="nl-NL"/>
            <w14:ligatures w14:val="standardContextual"/>
          </w:rPr>
          <w:tab/>
        </w:r>
        <w:r w:rsidRPr="009618D4">
          <w:rPr>
            <w:rStyle w:val="Hyperlink"/>
            <w:rFonts w:ascii="Times New Roman" w:hAnsi="Times New Roman"/>
          </w:rPr>
          <w:t>Instructies voor specifieke posities</w:t>
        </w:r>
        <w:r>
          <w:rPr>
            <w:webHidden/>
          </w:rPr>
          <w:tab/>
        </w:r>
        <w:r>
          <w:rPr>
            <w:webHidden/>
          </w:rPr>
          <w:fldChar w:fldCharType="begin"/>
        </w:r>
        <w:r>
          <w:rPr>
            <w:webHidden/>
          </w:rPr>
          <w:instrText xml:space="preserve"> PAGEREF _Toc210822831 \h </w:instrText>
        </w:r>
        <w:r>
          <w:rPr>
            <w:webHidden/>
          </w:rPr>
        </w:r>
        <w:r>
          <w:rPr>
            <w:webHidden/>
          </w:rPr>
          <w:fldChar w:fldCharType="separate"/>
        </w:r>
        <w:r w:rsidR="0006303A">
          <w:rPr>
            <w:webHidden/>
          </w:rPr>
          <w:t>20</w:t>
        </w:r>
        <w:r>
          <w:rPr>
            <w:webHidden/>
          </w:rPr>
          <w:fldChar w:fldCharType="end"/>
        </w:r>
      </w:hyperlink>
    </w:p>
    <w:p w14:paraId="4325A1DC" w14:textId="431CB050"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822804"/>
      <w:r>
        <w:rPr>
          <w:rFonts w:ascii="Times New Roman" w:hAnsi="Times New Roman"/>
        </w:rPr>
        <w:lastRenderedPageBreak/>
        <w:t>DEEL I:</w:t>
      </w:r>
      <w:bookmarkEnd w:id="2"/>
      <w:r>
        <w:rPr>
          <w:rFonts w:ascii="Times New Roman" w:hAnsi="Times New Roman"/>
        </w:rPr>
        <w:t xml:space="preserve"> ALGEMENE INSTRUCTIES</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822805"/>
      <w:r>
        <w:rPr>
          <w:rFonts w:ascii="Times New Roman" w:hAnsi="Times New Roman"/>
          <w:sz w:val="24"/>
          <w:u w:val="none"/>
        </w:rPr>
        <w:t>1.</w:t>
      </w:r>
      <w:r w:rsidRPr="0006303A">
        <w:rPr>
          <w:u w:val="none"/>
        </w:rPr>
        <w:tab/>
      </w:r>
      <w:r>
        <w:rPr>
          <w:rFonts w:ascii="Times New Roman" w:hAnsi="Times New Roman"/>
          <w:sz w:val="24"/>
          <w:u w:val="none"/>
        </w:rPr>
        <w:t>CONVENTIES</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822806"/>
      <w:bookmarkStart w:id="12" w:name="_Toc264038399"/>
      <w:bookmarkStart w:id="13" w:name="_Toc294018834"/>
      <w:r>
        <w:rPr>
          <w:rFonts w:ascii="Times New Roman" w:hAnsi="Times New Roman"/>
          <w:sz w:val="24"/>
          <w:u w:val="none"/>
        </w:rPr>
        <w:t>1.1.</w:t>
      </w:r>
      <w:r w:rsidRPr="0006303A">
        <w:rPr>
          <w:u w:val="none"/>
        </w:rPr>
        <w:tab/>
      </w:r>
      <w:r>
        <w:rPr>
          <w:rFonts w:ascii="Times New Roman" w:hAnsi="Times New Roman"/>
          <w:sz w:val="24"/>
          <w:u w:val="none"/>
        </w:rPr>
        <w:t>Gebruik van nummering</w:t>
      </w:r>
      <w:bookmarkEnd w:id="9"/>
      <w:bookmarkEnd w:id="10"/>
      <w:bookmarkEnd w:id="11"/>
    </w:p>
    <w:p w14:paraId="07DD29A3" w14:textId="3ADB010A" w:rsidR="002648B0" w:rsidRPr="002D60D7" w:rsidRDefault="002648B0" w:rsidP="00E172EA">
      <w:pPr>
        <w:pStyle w:val="InstructionsText2"/>
        <w:numPr>
          <w:ilvl w:val="0"/>
          <w:numId w:val="29"/>
        </w:numPr>
        <w:suppressAutoHyphens/>
      </w:pPr>
      <w:r>
        <w:t>Het document volgt de in de punten 2 t/m 5 beschreven conventies voor verwijzingen naar de kolommen, rijen en cellen van de templates. Van die numerieke codes wordt uitgebreid gebruikgemaakt in de validatievoorschriften.</w:t>
      </w:r>
    </w:p>
    <w:p w14:paraId="4A930757" w14:textId="35786EEA" w:rsidR="005643EA" w:rsidRPr="002D60D7" w:rsidRDefault="002648B0" w:rsidP="00E172EA">
      <w:pPr>
        <w:pStyle w:val="InstructionsText2"/>
        <w:numPr>
          <w:ilvl w:val="0"/>
          <w:numId w:val="29"/>
        </w:numPr>
        <w:suppressAutoHyphens/>
      </w:pPr>
      <w:r>
        <w:t>In de instructies wordt de volgende algemene notatie gehanteerd: {Template; Rij; Kolom}.</w:t>
      </w:r>
    </w:p>
    <w:p w14:paraId="058D6622" w14:textId="0D8EC818" w:rsidR="002648B0" w:rsidRPr="002D60D7" w:rsidRDefault="002648B0" w:rsidP="00E172EA">
      <w:pPr>
        <w:pStyle w:val="InstructionsText2"/>
        <w:numPr>
          <w:ilvl w:val="0"/>
          <w:numId w:val="29"/>
        </w:numPr>
        <w:suppressAutoHyphens/>
      </w:pPr>
      <w:r>
        <w:t>In het geval van validaties binnen een template, waarbij alleen datapunten van die template worden gebruikt, verwijzen de notaties niet naar een template: {Rij; Kolom}.</w:t>
      </w:r>
    </w:p>
    <w:p w14:paraId="1C93CB72" w14:textId="27E06172" w:rsidR="005643EA" w:rsidRPr="002D60D7" w:rsidRDefault="002648B0" w:rsidP="00E172EA">
      <w:pPr>
        <w:pStyle w:val="InstructionsText2"/>
        <w:numPr>
          <w:ilvl w:val="0"/>
          <w:numId w:val="29"/>
        </w:numPr>
        <w:suppressAutoHyphens/>
      </w:pPr>
      <w:r>
        <w:t>In het geval van templates die uit slechts één kolom bestaan, wordt uitsluitend naar rijen verwezen: {Template; Rij}.</w:t>
      </w:r>
    </w:p>
    <w:p w14:paraId="6CF08484" w14:textId="337CEEA0" w:rsidR="002648B0" w:rsidRPr="002D60D7" w:rsidRDefault="002648B0" w:rsidP="00E172EA">
      <w:pPr>
        <w:pStyle w:val="InstructionsText2"/>
        <w:numPr>
          <w:ilvl w:val="0"/>
          <w:numId w:val="29"/>
        </w:numPr>
        <w:suppressAutoHyphens/>
      </w:pPr>
      <w:r>
        <w:t>Een asterisk geeft aan dat de validatie geldt voor de gehele rij of kolom.</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822807"/>
      <w:r>
        <w:rPr>
          <w:rFonts w:ascii="Times New Roman" w:hAnsi="Times New Roman"/>
          <w:sz w:val="24"/>
          <w:u w:val="none"/>
        </w:rPr>
        <w:t>1.2.</w:t>
      </w:r>
      <w:r w:rsidRPr="0006303A">
        <w:rPr>
          <w:u w:val="none"/>
        </w:rPr>
        <w:tab/>
      </w:r>
      <w:r>
        <w:rPr>
          <w:rFonts w:ascii="Times New Roman" w:hAnsi="Times New Roman"/>
          <w:sz w:val="24"/>
          <w:u w:val="none"/>
        </w:rPr>
        <w:t>Tekenconventie</w:t>
      </w:r>
      <w:bookmarkEnd w:id="12"/>
      <w:bookmarkEnd w:id="13"/>
      <w:bookmarkEnd w:id="14"/>
      <w:bookmarkEnd w:id="15"/>
      <w:bookmarkEnd w:id="16"/>
    </w:p>
    <w:p w14:paraId="67BDF5E2" w14:textId="769DF459" w:rsidR="002648B0" w:rsidRDefault="002648B0" w:rsidP="00E172EA">
      <w:pPr>
        <w:pStyle w:val="InstructionsText2"/>
        <w:numPr>
          <w:ilvl w:val="0"/>
          <w:numId w:val="29"/>
        </w:numPr>
        <w:suppressAutoHyphens/>
      </w:pPr>
      <w:r>
        <w:t>Bedragen die tot een hoger eigen vermogen of tot hogere kapitaalvereisten leiden, worden als positieve waarde gerapporteerd. Bedragen die tot een lager totaal aan eigen vermogen of tot lagere kapitaalvereisten leiden, worden dan weer als negatieve waarde gerapporteerd. Indien er een minteken (-) voor het label van een post staat, wordt er voor die post geen positieve waarde verwacht.</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822808"/>
      <w:r>
        <w:rPr>
          <w:rFonts w:ascii="Times New Roman" w:hAnsi="Times New Roman"/>
          <w:sz w:val="24"/>
          <w:u w:val="none"/>
        </w:rPr>
        <w:t>1.3.</w:t>
      </w:r>
      <w:r w:rsidRPr="0006303A">
        <w:rPr>
          <w:u w:val="none"/>
        </w:rPr>
        <w:tab/>
      </w:r>
      <w:r>
        <w:rPr>
          <w:rFonts w:ascii="Times New Roman" w:hAnsi="Times New Roman"/>
          <w:sz w:val="24"/>
          <w:u w:val="none"/>
        </w:rPr>
        <w:t>Verwijzingen naar Verordening (EU) nr. 575/2013</w:t>
      </w:r>
      <w:bookmarkEnd w:id="17"/>
    </w:p>
    <w:p w14:paraId="59845808" w14:textId="11AE211B" w:rsidR="00843119" w:rsidRPr="002D60D7" w:rsidRDefault="00843119" w:rsidP="00E172EA">
      <w:pPr>
        <w:pStyle w:val="InstructionsText2"/>
        <w:numPr>
          <w:ilvl w:val="0"/>
          <w:numId w:val="29"/>
        </w:numPr>
        <w:suppressAutoHyphens/>
      </w:pPr>
      <w:r>
        <w:t xml:space="preserve">Alle verwijzingen naar de artikelen 325 tot en met 377 van Verordening (EU) nr. 575/2013 worden gelezen als verwijzingen naar de op 26 juni 2019 van kracht zijnde versie van die verordening.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822809"/>
      <w:r>
        <w:rPr>
          <w:rFonts w:ascii="Times New Roman" w:hAnsi="Times New Roman"/>
        </w:rPr>
        <w:t>DEEL II: INSTRUCTIES MET BETREKKING TOT DE TEMPLATES</w:t>
      </w:r>
      <w:bookmarkEnd w:id="18"/>
      <w:bookmarkEnd w:id="19"/>
      <w:r>
        <w:rPr>
          <w:rFonts w:ascii="Times New Roman" w:hAnsi="Times New Roman"/>
        </w:rPr>
        <w:t>: TEMPLATES VOOR MARKTRISICO</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822810"/>
      <w:r>
        <w:rPr>
          <w:rFonts w:ascii="Times New Roman" w:hAnsi="Times New Roman"/>
          <w:sz w:val="24"/>
          <w:u w:val="none"/>
        </w:rPr>
        <w:t>1.</w:t>
      </w:r>
      <w:r w:rsidRPr="0006303A">
        <w:rPr>
          <w:u w:val="none"/>
        </w:rPr>
        <w:tab/>
      </w:r>
      <w:bookmarkEnd w:id="21"/>
      <w:bookmarkEnd w:id="22"/>
      <w:bookmarkEnd w:id="23"/>
      <w:bookmarkEnd w:id="24"/>
      <w:bookmarkEnd w:id="25"/>
      <w:bookmarkEnd w:id="26"/>
      <w:r>
        <w:rPr>
          <w:rFonts w:ascii="Times New Roman" w:hAnsi="Times New Roman"/>
          <w:sz w:val="24"/>
        </w:rPr>
        <w:t>Algemene opmerkingen</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Deze instructies hebben betrekking op de templates voor de rapportage over de berekening van eigenvermogensvereisten volgens de standaardbenadering voor valutarisico (MKR SA FX), grondstoffenrisico (MKR SA COM), renterisico (MKR SA TDI, MKR SA SEC, MKR SA CTP) en aandelenrisico (MKR SA EQU). Daarnaast bevat dit deel instructies ten behoeve van de template voor de rapportage van de berekening van eigenvermogensvereisten volgens de internemodellenbenadering (MKR IM). </w:t>
      </w:r>
    </w:p>
    <w:p w14:paraId="43A205D1" w14:textId="5DC446A2" w:rsidR="000B0B09" w:rsidRPr="002D60D7" w:rsidRDefault="000B0B09" w:rsidP="00E172EA">
      <w:pPr>
        <w:pStyle w:val="InstructionsText2"/>
        <w:numPr>
          <w:ilvl w:val="0"/>
          <w:numId w:val="29"/>
        </w:numPr>
        <w:suppressAutoHyphens/>
      </w:pPr>
      <w:r>
        <w:t xml:space="preserve">Het positierisico voor een verhandelbaar schuldinstrument of aandeel (of een van een schuldinstrument of een aandeel afgeleid instrument) wordt in twee componenten gesplitst om het voor dat positierisico benodigde vermogen te kunnen berekenen. De eerste component betreft het specifieke risico ervan, d.w.z. het risico van een prijsverandering in het betrokken instrument als gevolg van factoren die verband houden met de emittent ervan of, in het geval van een afgeleid instrument, de uitgevende instelling van het onderliggende instrument. De tweede component betreft het algemene risico ervan, d.w.z. het risico van een prijsverandering van het instrument als gevolg van een wijziging in de rentestand (bij een verhandelbaar schuldinstrument of van een schuldinstrument afgeleid instrument) of een algemene koersontwikkeling op de aandelenmarkt die geen verband houdt met enigerlei specifieke aspecten van de betrokken effecten (bij een aandeel of van een aandeel afgeleid instrument). </w:t>
      </w:r>
      <w:bookmarkEnd w:id="28"/>
      <w:r>
        <w:t xml:space="preserve">De algemene behandeling van specifieke instrumenten en netteringsprocedures is vastgelegd in de artikelen 326 tot en met 333 van Verordening (EU) nr.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822811"/>
      <w:r>
        <w:rPr>
          <w:rFonts w:ascii="Times New Roman" w:hAnsi="Times New Roman"/>
          <w:sz w:val="24"/>
          <w:u w:val="none"/>
        </w:rPr>
        <w:t>2.</w:t>
      </w:r>
      <w:r w:rsidRPr="0006303A">
        <w:rPr>
          <w:u w:val="none"/>
        </w:rPr>
        <w:tab/>
      </w:r>
      <w:r>
        <w:rPr>
          <w:rFonts w:ascii="Times New Roman" w:hAnsi="Times New Roman"/>
          <w:sz w:val="24"/>
        </w:rPr>
        <w:t>C 18.00 – Marktrisico: Standaardbenadering van positierisico’s in verhandelbare schuldinstrumenten (MKR SA TDI)</w:t>
      </w:r>
      <w:bookmarkEnd w:id="29"/>
      <w:bookmarkEnd w:id="30"/>
      <w:bookmarkEnd w:id="31"/>
      <w:bookmarkEnd w:id="32"/>
      <w:bookmarkEnd w:id="33"/>
      <w:bookmarkEnd w:id="34"/>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822812"/>
      <w:r>
        <w:rPr>
          <w:rFonts w:ascii="Times New Roman" w:hAnsi="Times New Roman"/>
          <w:sz w:val="24"/>
          <w:u w:val="none"/>
        </w:rPr>
        <w:t>2.1.</w:t>
      </w:r>
      <w:r w:rsidRPr="0006303A">
        <w:rPr>
          <w:u w:val="none"/>
        </w:rPr>
        <w:tab/>
      </w:r>
      <w:r>
        <w:rPr>
          <w:rFonts w:ascii="Times New Roman" w:hAnsi="Times New Roman"/>
          <w:sz w:val="24"/>
        </w:rPr>
        <w:t>Algemene opmerkingen</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Deze template geeft de posities en de daarbij behorende eigenvermogensvereisten weer voor risico’s van posities in verhandelbare schuldinstrumenten in het kader van de standaardbenadering (artikel 325, lid 2, punt a), van Verordening (EU) nr. 575/2013). De verschillende risico’s en methoden die in het kader van Verordening (EU) nr. 575/2013 beschikbaar zijn, worden in rijen gerapporteerd. Het specifieke risico in verband met blootstellingen die zijn opgenomen in MKR SA SEC en MKR SA CTP, wordt alleen in de Total-template van de MKR SA TDI gerapporteerd. De in die templates gerapporteerde eigenvermogensvereisten worden overgebracht naar, respectievelijk, cel {0325;0060} (securitisaties) en cel {0330;0060} (CTP).</w:t>
      </w:r>
    </w:p>
    <w:p w14:paraId="7C8420A5" w14:textId="3BAA75DB" w:rsidR="000B0B09" w:rsidRPr="002D60D7" w:rsidRDefault="000B0B09" w:rsidP="00E172EA">
      <w:pPr>
        <w:pStyle w:val="InstructionsText2"/>
        <w:numPr>
          <w:ilvl w:val="0"/>
          <w:numId w:val="29"/>
        </w:numPr>
        <w:suppressAutoHyphens/>
      </w:pPr>
      <w:r>
        <w:t xml:space="preserve">De template wordt afzonderlijk ingevuld voor “Total”; daarnaast moet een vooraf bepaalde lijst van de volgende valuta worden verstrekt: </w:t>
      </w:r>
      <w:bookmarkStart w:id="44" w:name="OLE_LINK1"/>
      <w:r>
        <w:t>EUR, ALL, BGN, CZK, DKK, EGP, GBP, HUF, ISK, JPY, MKD, NOK, PLN, RON, RUB, RSD, SEK, CHF, TRY, UAH, USD</w:t>
      </w:r>
      <w:bookmarkEnd w:id="44"/>
      <w:r>
        <w:t xml:space="preserve"> en een resttemplate voor alle overige valuta.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822813"/>
      <w:r>
        <w:rPr>
          <w:rFonts w:ascii="Times New Roman" w:hAnsi="Times New Roman"/>
          <w:sz w:val="24"/>
          <w:u w:val="none"/>
        </w:rPr>
        <w:lastRenderedPageBreak/>
        <w:t>2.2.</w:t>
      </w:r>
      <w:r w:rsidRPr="0006303A">
        <w:rPr>
          <w:u w:val="none"/>
        </w:rPr>
        <w:tab/>
      </w:r>
      <w:r>
        <w:rPr>
          <w:rFonts w:ascii="Times New Roman" w:hAnsi="Times New Roman"/>
          <w:sz w:val="24"/>
        </w:rPr>
        <w:t>Instructies voor specifieke posities</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POSITIES (LONG EN SHORT)</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Artikel 102 en artikel 105, lid 1, van Verordening (EU) nr. 575/2013 Dit zijn brutoposities die niet worden gesaldeerd door instrumenten, maar met uitsluiting van bij derden geplaatste of door derden herovergenomen overnemingsposities (artikel 345, lid 1, eerste alinea, tweede zin, van Verordening (EU) nr. 575/2013). Zie, voor het onderscheid tussen long- en shortposities (dat eveneens van toepassing is op deze brutoposities), artikel 328, lid 2, van die verordening.</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Artikelen 327 tot en met 329 en artikel 334 van Verordening (EU) nr. 575/2013 Zie, voor het onderscheid tussen long- en shortposities (dat eveneens van toepassing is op deze brutoposities), artikel 328, lid 2, van die verordening.</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De nettoposities waarop overeenkomstig de verschillende in deel drie, titel IV, hoofdstuk 2, van Verordening (EU) nr. 575/2013 beschreven benaderingen een kapitaalvereiste van toepassing is.</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Het kapitaalvereiste voor een bepaalde positie overeenkomstig deel drie, titel IV, hoofdstuk 2, van Verordening (EU) nr. 575/2013.</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Artikel 92, lid 6, punt b), van Verordening (EU) nr. 575/2013. De uitkomst van de vermenigvuldiging van de eigenvermogensvereisten met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VERHANDELBARE SCHULDINSTRUMENTEN IN DE HANDELSPORTEFEUILLE</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Posities in verhandelbare schuldinstrumenten in de handelsportefeuille en de daarbij behorende eigenvermogensvereisten voor positierisico overeenkomstig artikel 92, lid 4, punt b), i), van Verordening (EU) nr. 575/2013 en deel drie, titel IV, hoofdstuk 2, van die verordening worden gerapporteerd naargelang de risicocategorie, looptijd en toegepaste benadering.</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ALGEMEEN RISICO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Derivaten</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Derivaten die zijn opgenomen in de berekening van renterisico van posities in de handelsportefeuille, waarbij, in voorkomend geval, de artikelen 328 tot en met 331 van Verordening (EU) nr. 575/2013 in acht worden genomen.</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D60D7" w:rsidRDefault="000B0B09" w:rsidP="0006303A">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Andere activa en verplichtingen</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Instrumenten niet zijnde derivaten die zijn opgenomen in de berekening van renterisico van posities in de handelsportefeuille.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BENADERING OP GROND VAN DE LOOPTIJD</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Posities in verhandelbare schuldinstrumenten die zijn onderworpen aan de benadering op grond van de looptijd overeenkomstig artikel 339, leden 1 tot en met 8, van Verordening (EU) nr. 575/2013 en de daarbij behorende eigenvermogensvereisten berekend overeenkomstig artikel 339, lid 9, van die verordening. De positie wordt uitgesplitst in de zones 1, 2 en 3, en die zones worden zelf uitgesplitst naar de looptijd van de instrumenten.</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ALGEMEEN RISICO BENADERING OP GROND VAN DE DURATION</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Posities in verhandelbare schuldinstrumenten die zijn onderworpen aan de benadering op grond van de duration overeenkomstig artikel 340, leden 1 tot en met 6, van Verordening (EU) nr. 575/2013 en de daarbij behorende eigenvermogensvereisten berekend overeenkomstig artikel 340, lid 7, van die verordening. De positie wordt uitgesplitst in de zones 1, 2 en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SPECIFIEK RISICO</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De som van de bedragen die zijn gerapporteerd in de rijen 0251, 0325 en 0330.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Posities in verhandelbare schuldinstrumenten die zijn onderworpen aan kapitaalvereisten voor specifiek risico en de daarbij behorende kapitaalvereisten overeenkomstig artikel 92, lid 3, punt b), artikel 335, artikel 336, leden 1, 2 en 3, en de artikelen 337 en 338 van Verordening (EU) nr. 575/2013. Houd ook rekening met de laatste zin van artikel 327, lid 1, van die verordening.</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niet-gesecuritiseerde schuldinstrumenten</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De som van de bedragen die zijn gerapporteerd in de rijen 260 t/m 321.</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Het eigenvermogensvereiste van de nth-to-default kredietderivaten zonder externe rating wordt berekend door de risicogewichten van de referentie-entiteiten bij elkaar op te tellen (artikel 332, lid 1, punt e), en artikel 332, lid 1, tweede alinea, van Verordening (EU) nr. 575/2013 – “doorkijk”). Nth-to-default kredietderivaten met een externe rating (artikel 332, lid 1, derde alinea, van Verordening (EU) nr. 575/2013) worden afzonderlijk in rij 321 gerapporteerd.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Rapportage van posities onderworpen aan artikel 336, lid 3, van Verordening (EU) nr. 575/2013: Obligaties die overeenkomstig artikel 129, lid 3, van die verordening in aanmerking komen voor een risicogewicht van 10 % in de niet-handelsportefeuille (gedekte obligaties), krijgen een aparte behandeling. De specifieke eigenvermogensvereisten bedragen de helft van het percentage van de tweede categorie uit tabel 1 in artikel 336 van Verordening (EU) nr. 575/2013. Die posities worden toegewezen aan de rijen 0280 t/m 0300 volgens de resterende looptijd tot eindvervaldatum.</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Indien het algemene risico van renteposities met een kredietderivaat wordt gehedged, zijn de artikelen 346 en 347 van Verordening (EU) nr. 575/2013 van toepassing.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D60D7" w:rsidRDefault="000B0B09" w:rsidP="0006303A">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securitisatie-instrumenten</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Het totaal van de eigenvermogensvereisten gerapporteerd in kolom 0601 van template MKR SA SEC. Die totale eigenvermogensvereisten worden alleen op het niveau “Total” van MKR SA TDI gerapporteerd.</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 voor de correlatiehandelsportefeuille</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Het totaal van de eigenvermogensvereisten gerapporteerd in kolom 0450 van template MKR SA CTP. Die totale eigenvermogensvereisten worden uitsluitend op het niveau “Total” van de MKR SA TDI gerapporteerd.</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AANVULLENDE VEREISTEN VOOR OPTIES (NIET-DELTARISICO’S)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Artikel 329, lid 3, van Verordening (EU) nr.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De aanvullende vereisten voor opties in verband met niet-deltarisico’s worden gerapporteerd uitgesplitst volgens de voor de berekening ervan gevolgde methode.</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822814"/>
      <w:r>
        <w:rPr>
          <w:rFonts w:ascii="Times New Roman" w:hAnsi="Times New Roman"/>
          <w:sz w:val="24"/>
          <w:u w:val="none"/>
        </w:rPr>
        <w:t>3.</w:t>
      </w:r>
      <w:r w:rsidRPr="0006303A">
        <w:rPr>
          <w:u w:val="none"/>
        </w:rPr>
        <w:tab/>
      </w:r>
      <w:r>
        <w:rPr>
          <w:rFonts w:ascii="Times New Roman" w:hAnsi="Times New Roman"/>
          <w:sz w:val="24"/>
        </w:rPr>
        <w:t>C 19.00 – MARKTRISICO: STANDAARDBENADERING VOOR SPECIFIEK RISICO IN SECURITISATIES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822815"/>
      <w:r>
        <w:rPr>
          <w:rFonts w:ascii="Times New Roman" w:hAnsi="Times New Roman"/>
          <w:sz w:val="24"/>
          <w:u w:val="none"/>
        </w:rPr>
        <w:t>3.1.</w:t>
      </w:r>
      <w:r w:rsidRPr="0006303A">
        <w:rPr>
          <w:u w:val="none"/>
        </w:rPr>
        <w:tab/>
      </w:r>
      <w:r>
        <w:rPr>
          <w:rFonts w:ascii="Times New Roman" w:hAnsi="Times New Roman"/>
          <w:sz w:val="24"/>
        </w:rPr>
        <w:t>Algemene opmerkingen</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In deze template wordt informatie uitgevraagd over posities (alle/netto en long/short) en de daarbij behorende eigenvermogensvereisten voor de component specifiek risico van het positierisico in (her)securitisaties die in de handelsportefeuille worden ingenomen (niet in aanmerking komend voor de correlatiehandelsportefeuille) in het kader van de standaardbenadering. </w:t>
      </w:r>
    </w:p>
    <w:p w14:paraId="2729DF95" w14:textId="1BA228E4" w:rsidR="00FC6275" w:rsidRPr="002D60D7" w:rsidRDefault="00FC6275" w:rsidP="00E172EA">
      <w:pPr>
        <w:pStyle w:val="InstructionsText2"/>
        <w:numPr>
          <w:ilvl w:val="0"/>
          <w:numId w:val="29"/>
        </w:numPr>
        <w:suppressAutoHyphens/>
      </w:pPr>
      <w:r>
        <w:t xml:space="preserve">De MKR SA SEC-template bevat het eigenvermogensvereiste uitsluitend voor het specifieke risico van securitisatieposities overeenkomstig artikel 335 van Verordening (EU) nr. 575/2013, in samenhang met artikel 337 van die verordening. Indien securitisatieposities in de handelsportefeuille met kredietderivaten worden gehedged, zijn de artikelen 346 en 347 van Verordening (EU) nr. 575/2013 van toepassing. Er is maar één template voor alle posities van de handelsportefeuille, ongeacht de benadering die beleggingsondernemingen toepassen om het risicogewicht voor elke positie te bepalen overeenkomstig deel drie, titel II, hoofdstuk 5, van Verordening (EU) nr. 575/2013. De eigenvermogensvereisten van het algemene risico van die posities worden gerapporteerd in de MKR SA TDI- of de MKR IM-template. </w:t>
      </w:r>
    </w:p>
    <w:p w14:paraId="0C732A14" w14:textId="3FF74494" w:rsidR="00FC6275" w:rsidRPr="002D60D7" w:rsidRDefault="00FC6275" w:rsidP="00E172EA">
      <w:pPr>
        <w:pStyle w:val="InstructionsText2"/>
        <w:numPr>
          <w:ilvl w:val="0"/>
          <w:numId w:val="29"/>
        </w:numPr>
        <w:suppressAutoHyphens/>
      </w:pPr>
      <w:r>
        <w:t>Voor posities die een risicogewicht van 1 250 % krijgen, bestaat de alternatieve mogelijkheid om deze af te trekken van het tier 1-kernkapitaal (zie artikel 244, lid 1, punt b), artikel 245 lid 1, punt b), en artikel 253 van Verordening (EU) nr. 575/2013). Die posities worden in deze template gerapporteerd, zelfs indien de instelling gebruikmaakt van de mogelijkheid om deze af te trekken.</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822816"/>
      <w:r>
        <w:rPr>
          <w:rFonts w:ascii="Times New Roman" w:hAnsi="Times New Roman"/>
          <w:sz w:val="24"/>
          <w:u w:val="none"/>
        </w:rPr>
        <w:lastRenderedPageBreak/>
        <w:t>3.2.</w:t>
      </w:r>
      <w:r w:rsidRPr="0006303A">
        <w:rPr>
          <w:u w:val="none"/>
        </w:rPr>
        <w:tab/>
      </w:r>
      <w:r>
        <w:rPr>
          <w:rFonts w:ascii="Times New Roman" w:hAnsi="Times New Roman"/>
          <w:sz w:val="24"/>
        </w:rPr>
        <w:t>Instructies voor specifieke posities</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Kolommen</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POSITIES (LONG EN SHORT)</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Artikel 102 en artikel 105, lid 1, van Verordening (EU) nr. 575/2013, in samenhang met artikel 337 van die verordening (securitisatieposities).</w:t>
            </w:r>
            <w:r>
              <w:rPr>
                <w:rStyle w:val="InstructionsTabelleText"/>
                <w:rFonts w:ascii="Times New Roman" w:hAnsi="Times New Roman"/>
                <w:sz w:val="24"/>
              </w:rPr>
              <w:t xml:space="preserve"> </w:t>
            </w:r>
            <w:r>
              <w:rPr>
                <w:rFonts w:ascii="Times New Roman" w:hAnsi="Times New Roman"/>
                <w:sz w:val="24"/>
              </w:rPr>
              <w:t>Zie, voor het onderscheid tussen long- en shortposities (dat eveneens van toepassing is op deze brutoposities), artikel 328, lid 2, van die verordening.</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VAN HET EIGEN VERMOGEN AFGETROKKEN POSITIES (LONG EN SHORT)</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Artikel 244, lid 1, punt b), artikel 245, lid 1, punt b), en artikel 253 van Verordening (EU) nr.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NETTOPOSITIES (LONG EN SHORT)</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Artikelen 327, 328, 329 en 334 van Verordening (EU) nr. 575/2013</w:t>
            </w:r>
            <w:r>
              <w:rPr>
                <w:rStyle w:val="InstructionsTabelleText"/>
                <w:rFonts w:ascii="Times New Roman" w:hAnsi="Times New Roman"/>
                <w:sz w:val="24"/>
              </w:rPr>
              <w:t xml:space="preserve"> </w:t>
            </w:r>
            <w:r>
              <w:rPr>
                <w:rFonts w:ascii="Times New Roman" w:hAnsi="Times New Roman"/>
                <w:sz w:val="24"/>
              </w:rPr>
              <w:t>Zie, voor het onderscheid tussen long- en shortposities (dat eveneens van toepassing is op deze brutoposities), artikel 328, lid 2, van die verordening.</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DE NETTOPOSITIES NAAR RISICOGEWICHT</w:t>
            </w:r>
          </w:p>
          <w:p w14:paraId="3ECFC065" w14:textId="41D71775" w:rsidR="00C3548F" w:rsidRPr="002D60D7" w:rsidRDefault="00C55547" w:rsidP="004C445F">
            <w:pPr>
              <w:suppressAutoHyphens/>
              <w:rPr>
                <w:rStyle w:val="InstructionsTabelleText"/>
                <w:rFonts w:ascii="Times New Roman" w:hAnsi="Times New Roman"/>
                <w:sz w:val="24"/>
              </w:rPr>
            </w:pPr>
            <w:r>
              <w:rPr>
                <w:rFonts w:ascii="Times New Roman" w:hAnsi="Times New Roman"/>
                <w:sz w:val="24"/>
              </w:rPr>
              <w:t>Artikelen 259 tot en met 262, artikel 263, tabellen 1 en 2, artikel 264, tabellen 3 en 4, en artikel 266 van Verordening (EU) nr.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De long- en shortposities worden afzonderlijk uitgesplitst.</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DE NETTOPOSITIE NAAR BENADERING</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Artikel 254 van Verordening (EU) nr.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Fonts w:ascii="Times New Roman" w:hAnsi="Times New Roman"/>
                <w:sz w:val="24"/>
              </w:rPr>
              <w:t>Artikelen 259 en 260 van Verordening (EU) nr.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Artikelen 261 en 262 van Verordening (EU) nr.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Fonts w:ascii="Times New Roman" w:hAnsi="Times New Roman"/>
                <w:sz w:val="24"/>
              </w:rPr>
              <w:t>Artikelen 263 en 264 van Verordening (EU) nr.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INTERNEBEOORDELINGSBENADERING (IAA)</w:t>
            </w:r>
          </w:p>
          <w:p w14:paraId="5354C48C" w14:textId="38E5A78D" w:rsidR="00C55547" w:rsidRPr="002D60D7" w:rsidRDefault="00C55547" w:rsidP="004C445F">
            <w:pPr>
              <w:suppressAutoHyphens/>
              <w:rPr>
                <w:rFonts w:ascii="Times New Roman" w:hAnsi="Times New Roman"/>
                <w:bCs/>
                <w:sz w:val="24"/>
                <w:u w:val="single"/>
              </w:rPr>
            </w:pPr>
            <w:r>
              <w:rPr>
                <w:rFonts w:ascii="Times New Roman" w:hAnsi="Times New Roman"/>
                <w:sz w:val="24"/>
              </w:rPr>
              <w:t>Artikelen 254 en 265 en artikel 266, lid 5, van Verordening (EU) nr. 575/2013</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SPECIFIEKE BEHANDELING VOOR SENIOR SECURITISATIEPOSITIES VAN IN AANMERKING KOMENDE NPE-SECURITISATIES</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Artikel 269 bis, lid 3, van Verordening (EU) nr. 575/2013</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OVERIGE (RW = 1 250 %)</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254, lid 7, van Verordening (EU) nr.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ALGEHEEL EFFECT (CORRECTIE) ALS GEVOLG VAN INBREUKEN OP HOOFDSTUK 2 VAN VERORDENING (EU)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Artikel 270 bis van Verordening (EU) nr.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VÓÓR BEGRENZING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Artikel 337 van Verordening (EU) nr. 575/2013; zonder inaanmerkingneming van de in artikel 335 van die verordening beschreven discretie waardoor een instelling het product van het gewicht en de nettopositie kan begrenzen op het grootst mogelijke met het verzuimrisico samenhangende verlies.</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 BEGRENZING / TOTALE EIGENVERMOGENSVEREISTEN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Artikel 337 van Verordening (EU) nr. 575/2013, met inaanmerkingneming van de in artikel 335 van die verordening beschreven discretie.</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Rijen</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TOTALE BLOOTSTELLINGEN</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Totale bedrag aan uitstaande (in de handelsportefeuille aangehouden) securitisaties en hersecuritisaties gerapporteerd door de instelling in de rol van initiator of belegger of sponsor.</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en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SECURITISATIEPOSITIES</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Artikel 4, lid 1, punt 62, van Verordening (EU) nr.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en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HERSECURITISATIEPOSITIES</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4, lid 1, punt 64, van Verordening (EU) nr.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en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WAARVAN: IN AANMERKING KOMEND VOOR GEDIFFERENTIEERDE VERMOGENSBEHANDELING</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Het totale bedrag aan securitisatieposities die aan de criteria van artikel 243 of 270 van Verordening (EU) nr. 575/2013 voldoen en die zodoende voor een gedifferentieerde vermogensbehandeling in aanmerking komen.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INITIATOR</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4, lid 1, punt 13, van Verordening (EU) nr.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BELEGGER</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Kredietinstelling die een securitisatiepositie inneemt in een securitisatietransactie waarvoor zij initiator, sponsor noch oorspronkelijke kredietverstrekker is.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SPONSOR</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Artikel 4, lid 1, punt 14, van Verordening (EU) nr.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Een sponsor die tevens zijn eigen activa securitiseert, vermeldt in de rijen voor de initiator de informatie over die gesecuritiseerde eigen activa.</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822817"/>
      <w:r>
        <w:rPr>
          <w:rFonts w:ascii="Times New Roman" w:hAnsi="Times New Roman"/>
          <w:sz w:val="24"/>
          <w:u w:val="none"/>
        </w:rPr>
        <w:t>4.</w:t>
      </w:r>
      <w:r w:rsidRPr="0006303A">
        <w:rPr>
          <w:u w:val="none"/>
        </w:rPr>
        <w:tab/>
      </w:r>
      <w:r>
        <w:rPr>
          <w:rFonts w:ascii="Times New Roman" w:hAnsi="Times New Roman"/>
          <w:sz w:val="24"/>
        </w:rPr>
        <w:t>C 20.00 – MARKTRISICO: STANDAARDBENADERING VOOR SPECIFIEK RISICO VOOR AAN DE CORRELATIEHANDELSPORTEFEUILLE TOEGEWEZEN POSITIES (MKR SA CTP)</w:t>
      </w:r>
      <w:bookmarkEnd w:id="73"/>
      <w:bookmarkEnd w:id="74"/>
      <w:bookmarkEnd w:id="75"/>
      <w:bookmarkEnd w:id="76"/>
      <w:bookmarkEnd w:id="77"/>
      <w:bookmarkEnd w:id="78"/>
      <w:bookmarkEnd w:id="79"/>
    </w:p>
    <w:p w14:paraId="43960D05" w14:textId="36A9C0ED"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822818"/>
      <w:r>
        <w:rPr>
          <w:rFonts w:ascii="Times New Roman" w:hAnsi="Times New Roman"/>
          <w:sz w:val="24"/>
          <w:u w:val="none"/>
        </w:rPr>
        <w:t>4</w:t>
      </w:r>
      <w:r w:rsidR="0006303A">
        <w:rPr>
          <w:rFonts w:ascii="Times New Roman" w:hAnsi="Times New Roman"/>
          <w:sz w:val="24"/>
          <w:u w:val="none"/>
        </w:rPr>
        <w:t>.</w:t>
      </w:r>
      <w:r>
        <w:rPr>
          <w:rFonts w:ascii="Times New Roman" w:hAnsi="Times New Roman"/>
          <w:sz w:val="24"/>
          <w:u w:val="none"/>
        </w:rPr>
        <w:t>1.</w:t>
      </w:r>
      <w:r w:rsidRPr="0006303A">
        <w:rPr>
          <w:u w:val="none"/>
        </w:rPr>
        <w:tab/>
      </w:r>
      <w:r>
        <w:rPr>
          <w:rFonts w:ascii="Times New Roman" w:hAnsi="Times New Roman"/>
          <w:sz w:val="24"/>
        </w:rPr>
        <w:t>Algemene opmerkingen</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In deze template wordt informatie uitgevraagd over posities in de correlatiehandelsportefeuille (“CTP”) (bestaande uit securitisaties, nth-to-default kredietderivaten en andere overeenkomstig artikel 338, lid 3, van Verordening (EU) nr. 575/2013 opgenomen CTP-posities) en de daarbij behorende eigenvermogensvereisten in het kader van de standaardbenadering.</w:t>
      </w:r>
    </w:p>
    <w:p w14:paraId="7D9D9B10" w14:textId="1F1EFDEB" w:rsidR="00C55547" w:rsidRPr="002D60D7" w:rsidRDefault="00C55547" w:rsidP="00E172EA">
      <w:pPr>
        <w:pStyle w:val="InstructionsText2"/>
        <w:numPr>
          <w:ilvl w:val="0"/>
          <w:numId w:val="29"/>
        </w:numPr>
        <w:suppressAutoHyphens/>
      </w:pPr>
      <w:r>
        <w:t>De MKR SA CTP-template bevat het eigenvermogensvereiste uitsluitend voor het specifieke risico van aan de CTP overeenkomstig artikel 335 van Verordening (EU) nr. 575/2013, in samenhang met artikel 338, leden 2 en 3, van die verordening toegewezen posities. Indien CTP-posities in de handelsportefeuille met kredietderivaten worden gehedged, zijn de artikelen 346 en 347 van Verordening (EU) nr. 575/2013 van toepassing. Er is maar één template voor alle CTP-posities van de handelsportefeuille, ongeacht de benadering die beleggingsondernemingen toepassen om het risicogewicht voor elke positie te bepalen overeenkomstig deel drie, titel II, hoofdstuk 5, van Verordening (EU) nr. 575/2013. De eigenvermogensvereisten voor het algemene risico van die posities worden gerapporteerd in de MKR SA TDI- of de MKR IM-template.</w:t>
      </w:r>
    </w:p>
    <w:p w14:paraId="2252BE4F" w14:textId="4513CABA" w:rsidR="00C55547" w:rsidRPr="002D60D7" w:rsidRDefault="00C55547" w:rsidP="00E172EA">
      <w:pPr>
        <w:pStyle w:val="InstructionsText2"/>
        <w:numPr>
          <w:ilvl w:val="0"/>
          <w:numId w:val="29"/>
        </w:numPr>
        <w:suppressAutoHyphens/>
      </w:pPr>
      <w:r>
        <w:t xml:space="preserve">In deze template wordt onderscheiden tussen securitisatieposities, nth-to-default kredietderivaten en andere CTP-posities. Securitisatieposities worden steeds gerapporteerd in de rijen 0030, 0060 of 0090 (naargelang de rol van de instelling in de securitisatie). Nth-to-default kredietderivaten worden steeds gerapporteerd in rij 0110. De “andere CTP-posities” zijn posities die noch securitisatieposities noch nth-to-default kredietderivaten zijn (zie artikel 338, lid 3, van Verordening (EU) nr. 575/2013), maar zij zijn uitdrukkelijk “gekoppeld” (vanwege de beoogde hedge) aan een van die beide posities. </w:t>
      </w:r>
    </w:p>
    <w:p w14:paraId="5B5B9C2A" w14:textId="127C8328" w:rsidR="00C55547" w:rsidRPr="002D60D7" w:rsidRDefault="00C55547" w:rsidP="00E172EA">
      <w:pPr>
        <w:pStyle w:val="InstructionsText2"/>
        <w:numPr>
          <w:ilvl w:val="0"/>
          <w:numId w:val="29"/>
        </w:numPr>
        <w:suppressAutoHyphens/>
      </w:pPr>
      <w:r>
        <w:t>Voor posities die een risicogewicht van 1 250 % krijgen, bestaat de alternatieve mogelijkheid om deze af te trekken van het tier 1-kernkapitaal (zie artikel 244, lid 1, punt b), artikel 245 lid 1, punt b), en artikel 253 van Verordening (EU) nr. 575/2013). Die posities worden in deze template gerapporteerd, zelfs indien de instelling gebruikmaakt van de mogelijkheid om deze af te trekken.</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822819"/>
      <w:r>
        <w:rPr>
          <w:rFonts w:ascii="Times New Roman" w:hAnsi="Times New Roman"/>
          <w:sz w:val="24"/>
          <w:u w:val="none"/>
        </w:rPr>
        <w:t>4.2.</w:t>
      </w:r>
      <w:r w:rsidRPr="0006303A">
        <w:rPr>
          <w:u w:val="none"/>
        </w:rPr>
        <w:tab/>
      </w:r>
      <w:r>
        <w:rPr>
          <w:rFonts w:ascii="Times New Roman" w:hAnsi="Times New Roman"/>
          <w:sz w:val="24"/>
        </w:rPr>
        <w:t>Instructies voor specifieke posities</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Kolommen</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ALLE POSITIES (LONG EN SHORT)</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lastRenderedPageBreak/>
              <w:t>Artikel 102 en artikel 105, lid 1, van Verordening (EU) nr. 575/2013, in samenhang met artikel 338, leden 2 en 3, van die verordening (aan de correlatiehandelsportefeuille toegewezen posities).</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Zie, voor het onderscheid tussen long- en shortposities (dat eveneens van toepassing is op deze brutoposities), artikel 328, lid 2, van Verordening (EU) nr.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VAN HET EIGEN VERMOGEN AFGETROKKEN POSITIES (LONG EN SHORT)</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Artikel 253 van Verordening (EU) nr.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NETTOPOSITIES (LONG EN SHORT)</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Artikelen 327, 328, 329 en 334 van Verordening (EU) nr. 575/2013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Zie, voor het onderscheid tussen long- en shortposities, artikel 328, lid 2, van die verordening.</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UITSPLITSING VAN DE NETTOPOSITIES NAAR RISICOGEWICHT</w:t>
            </w:r>
          </w:p>
          <w:p w14:paraId="691F4414" w14:textId="75A08501" w:rsidR="00C55547" w:rsidRPr="002D60D7" w:rsidRDefault="00133396" w:rsidP="004C445F">
            <w:pPr>
              <w:suppressAutoHyphens/>
              <w:rPr>
                <w:rFonts w:ascii="Times New Roman" w:hAnsi="Times New Roman"/>
                <w:sz w:val="24"/>
              </w:rPr>
            </w:pPr>
            <w:r>
              <w:rPr>
                <w:rFonts w:ascii="Times New Roman" w:hAnsi="Times New Roman"/>
                <w:sz w:val="24"/>
              </w:rPr>
              <w:t>Artikelen 259 tot en met 262, artikel 263, tabellen 1 en 2, artikel 264, tabellen 3 en 4, en artikel 266 van Verordening (EU) nr.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DE NETTOPOSITIE NAAR BENADERING</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254 van Verordening (EU) nr. 575/2013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Artikelen 259 en 260 van Verordening (EU) nr.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Artikelen 261 en 262 van Verordening (EU) nr.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Artikelen 263 en 264 van Verordening (EU) nr.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INTERNEBEOORDELINGSBENADERING (IAA)</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Artikelen 254 en 265 en artikel 266, lid 5, van Verordening (EU) nr.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SPECIFIEKE BEHANDELING VOOR SENIOR SECURITISATIEPOSITIES VAN IN AANMERKING KOMENDE NPE-SECURITISATIES</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Artikel 269 bis, lid 3, van Verordening (EU) nr.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OVERIGE (RW = 1 250 %)</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lid 7, van Verordening (EU) nr.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VÓÓR BEGRENZING – GEWOGEN NETTO LONG-/SHORTPOSITIES</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Artikel 338 van Verordening (EU) nr. 575/2013, zonder inaanmerkingneming van de in artikel 335 van die verordening beschreven discretie.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NA BEGRENZING – GEWOGEN NETTO LONG-/SHORTPOSITIES</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Artikel 338 van Verordening (EU) nr. 575/2013, met inaanmerkingneming van de in artikel 335 van die verordening beschreven discretie.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TOTAAL EIGENVERMOGENSVEREISTEN</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Het eigenvermogensvereiste wordt bepaald als de grootste van beide waarden:</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het specifieke risicovereiste dat uitsluitend op de netto longposities van toepassing zou zijn (kolom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het specifieke risicovereiste dat uitsluitend op de netto shortposities van toepassing zou zijn (kolom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Rijen</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TOTALE BLOOTSTELLINGEN</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Totale bedrag aan uitstaande (in de correlatiehandelsportefeuille aangehouden) posities gerapporteerd door de instelling in de rol van initiator, belegger of sponsor.</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INITIATOR</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Artikel 4, lid 1, punt 13, van Verordening (EU) nr.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BELEGGER</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Kredietinstelling die een securitisatiepositie inneemt in een securitisatietransactie waarvoor zij initiator, sponsor noch oorspronkelijke kredietverstrekker is.</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SPONSOR</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Artikel 4, lid 1, punt 14, van Verordening (EU) nr.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Een sponsor die tevens zijn eigen activa securitiseert, vermeldt in de rijen voor de initiator de informatie over die gesecuritiseerde eigen activa.</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en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SECURITISATIEPOSITIES</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De correlatiehandelsportefeuille omvat securitisaties, nth-to-default kredietderivaten en eventueel andere hedgingposities die aan de in artikel 338, leden 2 en 3, van Verordening (EU) nr. 575/2013 beschreven criteria voldoen.</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Derivaten van securitisatieblootstellingen die een evenredig aandeel bieden, worden – evenals posities die dienen voor het hedgen van CTP-posities – opgenomen in de rij “Andere CTP-posities”.</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77777777" w:rsidR="00C55547" w:rsidRPr="002D60D7" w:rsidRDefault="00C55547" w:rsidP="0006303A">
            <w:pPr>
              <w:keepNext/>
              <w:suppressAutoHyphens/>
              <w:rPr>
                <w:rStyle w:val="InstructionsTabelleberschrift"/>
                <w:rFonts w:ascii="Times New Roman" w:hAnsi="Times New Roman"/>
                <w:sz w:val="24"/>
              </w:rPr>
            </w:pPr>
            <w:r>
              <w:rPr>
                <w:rStyle w:val="InstructionsTabelleberschrift"/>
                <w:rFonts w:ascii="Times New Roman" w:hAnsi="Times New Roman"/>
                <w:sz w:val="24"/>
              </w:rPr>
              <w:t>NTH-TO-DEFAULT KREDIETDERIVATEN</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Nth-to-default kredietderivaten en nth-to-default kredietderivaten die deze hedgen, worden hier samen gerapporteerd overeenkomstig artikel 347 van Verordening (EU) nr. 575/2013.</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De posities van initiator, belegger en sponsor zijn niet geschikt voor nth-to-default kredietderivaten. Bijgevolg wordt met betrekking tot securitisatieposities geen uitsplitsing voor nth-to-default kredietderivaten gegeven.</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en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ANDERE CTP-POSITIES</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De volgende posities worden opgenomen: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derivaten van securitisatieblootstellingen die een evenredig aandeel bieden, alsmede posities die dienen voor het hedgen van CTP-posities;</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CTP-posities die overeenkomstig artikel 346 van Verordening (EU) nr. 575/2013 worden gehedged door kredietderivaten;</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andere posities die aan artikel 338, lid 3, van Verordening (EU) nr. 575/2013 voldoen.</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822820"/>
      <w:r>
        <w:rPr>
          <w:rFonts w:ascii="Times New Roman" w:hAnsi="Times New Roman"/>
          <w:sz w:val="24"/>
          <w:u w:val="none"/>
        </w:rPr>
        <w:t>5.</w:t>
      </w:r>
      <w:r w:rsidRPr="0006303A">
        <w:rPr>
          <w:u w:val="none"/>
        </w:rPr>
        <w:tab/>
      </w:r>
      <w:r>
        <w:rPr>
          <w:rFonts w:ascii="Times New Roman" w:hAnsi="Times New Roman"/>
          <w:sz w:val="24"/>
        </w:rPr>
        <w:t>C 21.00 – Marktrisico: Standaardbenadering voor positierisico in aandelen (MKR SA EQU)</w:t>
      </w:r>
      <w:bookmarkEnd w:id="94"/>
      <w:bookmarkEnd w:id="95"/>
      <w:bookmarkEnd w:id="96"/>
      <w:bookmarkEnd w:id="97"/>
      <w:bookmarkEnd w:id="98"/>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822821"/>
      <w:r>
        <w:rPr>
          <w:rFonts w:ascii="Times New Roman" w:hAnsi="Times New Roman"/>
          <w:sz w:val="24"/>
          <w:u w:val="none"/>
        </w:rPr>
        <w:t>5.1.</w:t>
      </w:r>
      <w:r w:rsidRPr="0006303A">
        <w:rPr>
          <w:u w:val="none"/>
        </w:rPr>
        <w:tab/>
      </w:r>
      <w:r>
        <w:rPr>
          <w:rFonts w:ascii="Times New Roman" w:hAnsi="Times New Roman"/>
          <w:sz w:val="24"/>
        </w:rPr>
        <w:t>Algemene opmerkingen</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In deze template wordt informatie uitgevraagd over de posities en de daarbij behorende eigenvermogensvereisten voor positierisico in aandelen in de handelsportefeuille die volgens de standaardbenadering worden behandeld.</w:t>
      </w:r>
    </w:p>
    <w:p w14:paraId="3AF5EC7C" w14:textId="570FEDBA" w:rsidR="00B828CC" w:rsidRPr="002D60D7" w:rsidRDefault="000B0B09" w:rsidP="00E172EA">
      <w:pPr>
        <w:pStyle w:val="InstructionsText2"/>
        <w:numPr>
          <w:ilvl w:val="0"/>
          <w:numId w:val="29"/>
        </w:numPr>
        <w:suppressAutoHyphens/>
      </w:pPr>
      <w:r>
        <w:t>Deze template wordt afzonderlijk ingevuld voor “Total”; daarnaast moet een statische, vooraf bepaalde lijst van de volgende markten worden verstrekt: Bulgarije, Tsjechische Republiek, Denemarken, Egypte, Hongarije, IJsland, Liechtenstein, Noorwegen, Polen, Roemenië, Zweden, Verenigd Koninkrijk, Albanië, Japan, Noord-Macedonië, de Russische Federatie, Servië, Zwitserland, Turkije, Oekraïne, VS, de eurozone, plus één resttemplate voor alle overige markten. Voor de toepassing van dit rapportagevereiste moet “markt” worden gelezen als “land” (behalve voor landen die tot de eurozone behoren; zie Gedelegeerde Verordening (EU) nr. 525/2014 van de Commissie</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822822"/>
      <w:r>
        <w:rPr>
          <w:rFonts w:ascii="Times New Roman" w:hAnsi="Times New Roman"/>
          <w:sz w:val="24"/>
          <w:u w:val="none"/>
        </w:rPr>
        <w:t>5.2.</w:t>
      </w:r>
      <w:r w:rsidRPr="0006303A">
        <w:rPr>
          <w:u w:val="none"/>
        </w:rPr>
        <w:tab/>
      </w:r>
      <w:r>
        <w:rPr>
          <w:rFonts w:ascii="Times New Roman" w:hAnsi="Times New Roman"/>
          <w:sz w:val="24"/>
        </w:rPr>
        <w:t>Instructies voor specifieke posities</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ALLE POSITIES (LONG EN SHORT)</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lastRenderedPageBreak/>
              <w:t xml:space="preserve">Artikel 102 en artikel 105, lid 1, van Verordening (EU) nr. 575/2013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Dit zijn brutoposities die niet worden gesaldeerd door instrumenten, maar met uitsluiting van bij derden geplaatste of door derden herovergenomen overnemingsposities als bedoeld in artikel 345, lid 1, eerste alinea, tweede zin, van die verordening.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Artikelen 327, 329, 332, 341 en 345 van Verordening (EU) nr.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De nettoposities waarop overeenkomstig de verschillende in deel drie, titel IV, hoofdstuk 2, van Verordening (EU) nr. 575/2013 beschreven benaderingen een kapitaalvereiste van toepassing is. Het kapitaalvereiste wordt voor elke nationale markt apart berekend. Posities in aandelenindexfutures als bedoeld in artikel 344, lid 4, tweede zin, van Verordening (EU) nr. 575/2013 worden niet in deze kolom opgenomen.</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Het eigenvermogensvereiste overeenkomstig deel drie, titel IV, hoofdstuk 2, van Verordening (EU) nr. 575/2013.</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Artikel 92, lid 6, punt b), van Verordening (EU) nr.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De uitkomst van de vermenigvuldiging van de eigenvermogensvereisten met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IN DE HANDELSPORTEFEUILLE</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Eigenvermogensvereisten voor positierisico als bedoeld in artikel 92, lid 3, punt b), i), van Verordening (EU) nr. 575/2013 en deel drie, titel IV, hoofdstuk 2, afdeling 3, van die verordening.</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ALGEMEEN RISICO</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Posities in aandelen die aan algemeen risico onderhevig zijn (artikel 343 van Verordening (EU) nr. 575/2013), en het daarbij behorende eigenvermogensvereiste overeenkomstig deel drie, titel IV, hoofdstuk 2, afdeling 3, van die verordening.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Beide uitsplitsingen (rijen 0021/0022 en rijen 0030/0040) zijn een uitsplitsing van alle aan algemeen risico onderhevige posities.</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In de rijen 0021 en 0022 wordt informatie uitgevraagd over de uitsplitsing naar instrumenten gevraagd.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Uitsluitend de uitsplitsing in de rijen 0030 en 0040 dient als uitgangspunt voor de berekening van eigenvermogensvereisten.</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2D60D7" w:rsidRDefault="000B0B09" w:rsidP="0006303A">
            <w:pPr>
              <w:keepNext/>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Derivaten</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Derivaten die zijn opgenomen in de berekening van aandelenrisico van posities in de handelsportefeuille, waarbij, in voorkomend geval, de artikelen 329 en 332 van Verordening (EU) nr. 575/2013 in acht worden genomen.</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Andere activa en verplichtingen</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Instrumenten niet zijnde derivaten die zijn opgenomen in de berekening van aandelenrisico van posities in de handelsportefeuille.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Beursverhandelde aandelenindexfutures die ruim zijn gediversifieerd en aan een specifieke benadering zijn onderworpen</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Beursverhandelde aandelenindexfutures die ruim zijn gediversifieerd en aan een specifieke benadering zijn onderworpen overeenkomstig Uitvoeringsverordening (EU) nr. 945/2014 van de Commissie</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Die posities zijn uitsluitend aan algemeen risico onderhevig en hoeven derhalve niet te worden gerapporteerd in rij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niet zijnde ruim gediversifieerde beursverhandelde aandelenindexfutures</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Andere posities in aandelen die aan specifiek risico onderhevig zijn, en de daarbij behorende eigenvermogensvereisten overeenkomstig artikel 343 van Verordening (EU) nr. 575/2013, met inbegrip van overeenkomstig artikel 344, lid 3, van die verordening behandelde posities in aandelenindexfutures.</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SPECIFIEK RISICO</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Posities in aandelen die aan specifiek risico onderhevig zijn, en het daarbij behorende eigenvermogensvereiste overeenkomstig artikel 342 van Verordening (EU) nr. 575/2013, met uitsluiting van overeenkomstig artikel 344, lid 4, tweede zin, van die verordening behandelde posities in aandelenindexfutures.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329, leden 2 en 3, van Verordening (EU) nr.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822823"/>
      <w:r>
        <w:rPr>
          <w:rFonts w:ascii="Times New Roman" w:hAnsi="Times New Roman"/>
          <w:sz w:val="24"/>
          <w:u w:val="none"/>
        </w:rPr>
        <w:t>6.</w:t>
      </w:r>
      <w:r w:rsidRPr="0006303A">
        <w:rPr>
          <w:u w:val="none"/>
        </w:rPr>
        <w:tab/>
      </w:r>
      <w:r>
        <w:rPr>
          <w:rFonts w:ascii="Times New Roman" w:hAnsi="Times New Roman"/>
          <w:sz w:val="24"/>
        </w:rPr>
        <w:t>C 22.00 – Marktrisico: Standaardbenaderingen voor valutarisico (MKR SA FX)</w:t>
      </w:r>
      <w:bookmarkEnd w:id="115"/>
      <w:bookmarkEnd w:id="116"/>
      <w:bookmarkEnd w:id="117"/>
      <w:bookmarkEnd w:id="118"/>
      <w:bookmarkEnd w:id="119"/>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822824"/>
      <w:r>
        <w:rPr>
          <w:rFonts w:ascii="Times New Roman" w:hAnsi="Times New Roman"/>
          <w:sz w:val="24"/>
          <w:u w:val="none"/>
        </w:rPr>
        <w:t>6.1.</w:t>
      </w:r>
      <w:r w:rsidRPr="0006303A">
        <w:rPr>
          <w:u w:val="none"/>
        </w:rPr>
        <w:tab/>
      </w:r>
      <w:r>
        <w:rPr>
          <w:rFonts w:ascii="Times New Roman" w:hAnsi="Times New Roman"/>
          <w:sz w:val="24"/>
        </w:rPr>
        <w:t>Algemene opmerkingen</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Beleggingsondernemingen rapporteren informatie over de posities in elke valuta (met inbegrip van de rapportagevaluta) en de daarbij behorende eigenvermogensvereisten voor valutarisico, behandeld volgens de standaardbenadering. De positie wordt berekend voor elke valuta (met inbegrip van de euro), goud en posities in icb’s.</w:t>
      </w:r>
    </w:p>
    <w:p w14:paraId="39EF826C" w14:textId="60814CC7" w:rsidR="000B0B09" w:rsidRPr="002D60D7" w:rsidRDefault="00B31D8A" w:rsidP="00E172EA">
      <w:pPr>
        <w:pStyle w:val="InstructionsText2"/>
        <w:numPr>
          <w:ilvl w:val="0"/>
          <w:numId w:val="29"/>
        </w:numPr>
        <w:suppressAutoHyphens/>
      </w:pPr>
      <w:r>
        <w:lastRenderedPageBreak/>
        <w:t>De rijen 0100 t/m 0470 van deze template worden gerapporteerd wanneer de beleggingsondernemingen toelating hebben om activiteiten 3 of 6 van bijlage I, deel A, bij Richtlijn 2014/65/EU van het Europees Parlement en de Raad</w:t>
      </w:r>
      <w:r>
        <w:rPr>
          <w:rStyle w:val="FootnoteReference"/>
        </w:rPr>
        <w:footnoteReference w:id="4"/>
      </w:r>
      <w:r>
        <w:t xml:space="preserve"> uit te oefenen, zelfs wanneer die beleggingsondernemingen niet verplicht zijn eigenvermogensvereisten voor valutarisico overeenkomstig artikel 351 van Verordening (EU) nr. 575/2013 te berekenen. In die pro-memorieposten worden alle posities in de rapportagevaluta opgenomen in de rijen 0100 t/m 0470, ongeacht de vraag of zij voor de toepassing van artikel 354 van Verordening (EU) nr. 575/2013 in aanmerking worden genomen. De rijen 0130 tot en met 0470 van de pro-memorieposten van de template worden afzonderlijk ingevuld voor alle valuta van de lidstaten van de Unie, de valuta GBP, USD, CHF, JPY, RUB, TRY, AUD, CAD, RSD, ALL, UAH, MKD, EGP, ARS, BRL, MXN, HKD, ICK, TWD, NZD, NOK, SGD, KRW, CNY en alle overige valuta.</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822825"/>
      <w:r>
        <w:rPr>
          <w:rFonts w:ascii="Times New Roman" w:hAnsi="Times New Roman"/>
          <w:sz w:val="24"/>
          <w:u w:val="none"/>
        </w:rPr>
        <w:t>6.2.</w:t>
      </w:r>
      <w:r w:rsidRPr="0006303A">
        <w:rPr>
          <w:u w:val="none"/>
        </w:rPr>
        <w:tab/>
      </w:r>
      <w:r>
        <w:rPr>
          <w:rFonts w:ascii="Times New Roman" w:hAnsi="Times New Roman"/>
          <w:sz w:val="24"/>
        </w:rPr>
        <w:t>Instructies voor specifieke posities</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POSITIES (LONG EN SHORT)</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Brutoposities als gevolg van activa, te ontvangen bedragen en vergelijkbare in artikel 352, lid 1, van Verordening (EU) nr. 575/2013 genoemde posten.</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Overeenkomstig artikel 352, lid 2, van Verordening (EU) nr. 575/2013, en met inachtneming van toestemming van de bevoegde autoriteiten, worden posities die zijn ingenomen om het negatieve effect van de wisselkoers op hun ratio’s te hedgen overeenkomstig artikel 92, lid 1, van die verordening, en posities betreffende posten die bij de berekening van het eigen vermogen reeds zijn afgetrokken, niet gerapporteerd.</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Artikel 352, lid 3, artikel 352, lid 4, eerste twee zinnen, en artikel 353 van Verordening (EU) nr. 575/2013.</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nettoposities worden voor elke valuta berekend overeenkomstig artikel 352, lid 1, van die verordening. Dit betekent dat long- en shortposities tegelijkertijd mogen worden gerapporteerd.</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352, lid 4, derde zin, en artikelen 353 en 354 van Verordening (EU) nr. 575/2013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0060-0070</w:t>
            </w:r>
          </w:p>
        </w:tc>
        <w:tc>
          <w:tcPr>
            <w:tcW w:w="7874" w:type="dxa"/>
          </w:tcPr>
          <w:p w14:paraId="4917443B" w14:textId="77777777" w:rsidR="000B0B09" w:rsidRPr="002D60D7" w:rsidRDefault="000B0B09" w:rsidP="0006303A">
            <w:pPr>
              <w:keepNext/>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AAN EEN KAPITAALVEREISTE ONDERWORPEN POSITIES (LONG EN SHORT)</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De netto long- en shortposities worden per valuta berekend door het totaal aan shortposities af te trekken van het totaal aan longposities.</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De netto longposities voor elke transactie in een valuta worden opgeteld, om de netto longpositie in die valuta te verkrijgen.</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De netto shortposities voor elke transactie in een valuta worden opgeteld, om de netto shortpositie in die valuta te verkrijgen.</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Niet-gematchte posities in niet-rapportagevaluta worden bij aan kapitaalvereisten voor andere valuta onderworpen posities (rij 030) opgeteld in kolom 060 of 070, naargelang de regeling short of long is.</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 (GEMATCHT)</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Gematchte posities voor nauw gecorreleerde valuta.</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Het kapitaalvereiste voor een toepasselijke positie overeenkomstig deel drie, titel IV, hoofdstuk 3, van Verordening (EU) nr.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Artikel 92, lid 6, punt b), van Verordening (EU) nr.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De uitkomst van de vermenigvuldiging van de eigenvermogensvereisten met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Alle posities in niet-rapportagevaluta en de posities in de rapportagevaluta die voor de toepassing van artikel 354 van Verordening (EU) nr. 575/2013 in aanmerking worden genomen, en de daarbij behorende eigenvermogensvereisten voor het in artikel 92, lid 3, punt c), i), van die verordening bedoelde valutarisico, rekening houdende met artikel 352, leden 2 en 4, van Verordening (EU) nr. 575/2013 (voor omrekening naar de rapportagevaluta).</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NAUW GECORRELEERDE VALUTA</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Posities en de daarbij behorende eigenvermogensvereisten voor in artikel 354 van Verordening (EU) nr. 575/2013 bedoelde nauw gecorreleerde valuta.</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0025</w:t>
            </w:r>
          </w:p>
        </w:tc>
        <w:tc>
          <w:tcPr>
            <w:tcW w:w="7871" w:type="dxa"/>
          </w:tcPr>
          <w:p w14:paraId="596531B8" w14:textId="77777777" w:rsidR="00491F4D" w:rsidRPr="002D60D7" w:rsidRDefault="00491F4D" w:rsidP="0006303A">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Nauw gecorreleerde valuta </w:t>
            </w:r>
            <w:r>
              <w:rPr>
                <w:rFonts w:ascii="Times New Roman" w:hAnsi="Times New Roman"/>
                <w:b/>
                <w:i/>
                <w:sz w:val="24"/>
                <w:u w:val="single"/>
              </w:rPr>
              <w:t>waarvan</w:t>
            </w:r>
            <w:r>
              <w:rPr>
                <w:rFonts w:ascii="Times New Roman" w:hAnsi="Times New Roman"/>
                <w:b/>
                <w:sz w:val="24"/>
                <w:u w:val="single"/>
              </w:rPr>
              <w:t>: rapportagevaluta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Posities in de rapportagevaluta die bijdragen aan de berekening van de kapitaalvereisten overeenkomstig artikel 354 van Verordening (EU) nr.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OVERIGE VALUTA (met inbegrip van als andere valuta behandelde icb’s)</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Posities en de daarbij behorende eigenvermogensvereisten voor valuta die aan de algemene procedure van artikel 351 en artikel 352, leden 2 en 4, van Verordening (EU) nr. 575/2013 zijn onderworpen.</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Rapportage van als afzonderlijke valuta behandelde icb’s overeenkomstig artikel 353 Verordening (EU) nr.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Er zijn twee verschillende behandelingen van icb’s als afzonderlijke valuta voor het berekenen van de kapitaalvereisten:</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de gewijzigde behandeling van goud, indien de richting van de icb-belegging niet beschikbaar is (die icb’s moeten worden opgeteld bij de totale nettovalutapositie van een instelling);</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indien de richting van de icb-belegging wel beschikbaar is, worden die icb’s opgeteld bij de totale openstaande valutapositie (long of short, naargelang de richting van de icb).</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De rapportage van die icb’s volgt de berekening van de kapitaalvereisten.</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GOUD</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Posities en de daarbij behorende eigenvermogensvereisten voor valuta die aan de algemene procedure van artikel 351 en artikel 352, leden 2 en 4, van Verordening (EU) nr. 575/2013 zijn onderworpen.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Artikel 352, leden 5 en 6, van Verordening (EU) nr.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De aanvullende vereisten voor opties in verband met niet-deltarisico’s worden gerapporteerd uitgesplitst volgens de voor de berekening ervan gevolgde methode.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Uitsplitsing van totale posities (rapportagevaluta inbegrepen) naar soort blootstelling</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totale posities worden uitgesplitst naar derivaten, andere activa en verplichtingen, en posten buiten de balanstelling.</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Andere activa en verplichtingen niet zijnde posten buiten de balanstelling en derivaten</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Posities die niet in rij 0110 of rij 0120 zijn opgenomen, worden hier vermeld.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Posten buiten de balanstelling</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Posten die onder artikel 352 van Verordening (EU) nr. 575/2013 vallen, ongeacht de valuta waarin zij luiden, en die in bijlage I bij die verordening zijn opgenomen, behalve die welke zijn opgenomen als effectenfinancieringstransacties en transacties met afwikkeling op lange termijn of die voortvloeien uit contractuele productoverschrijdende nettering.</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Derivaten</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Posities gewaardeerd overeenkomstig artikel 352 van Verordening (EU) nr. 575/2013</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PRO-MEMORIEPOSTEN: VALUTAPOSITIES</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De pro-memorieposten van de template worden apart ingevuld voor alle valuta van de lidstaten van de Unie, voor de valuta GBP, USD, CHF, JPY, RUB, TRY, AUD, CAD, RSD, ALL, UAH, MKD, EGP, ARS, BRL, MXN, HKD, ICK, TWD, NZD, NOK, SGD, KRW, CNY en alle overige valuta.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Posities in goud en posities op icb’s behandeld als afzonderlijke valuta overeenkomstig artikel 353, lid 3, van Verordening (EU) nr. 575/2013, worden in rij 0470 opgenomen.</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822826"/>
      <w:r>
        <w:rPr>
          <w:rFonts w:ascii="Times New Roman" w:hAnsi="Times New Roman"/>
          <w:sz w:val="24"/>
          <w:u w:val="none"/>
        </w:rPr>
        <w:t>7.</w:t>
      </w:r>
      <w:r w:rsidRPr="0006303A">
        <w:rPr>
          <w:u w:val="none"/>
        </w:rPr>
        <w:tab/>
      </w:r>
      <w:r>
        <w:rPr>
          <w:rFonts w:ascii="Times New Roman" w:hAnsi="Times New Roman"/>
          <w:sz w:val="24"/>
        </w:rPr>
        <w:t>C 23.00 – Marktrisico: Standaardbenaderingen voor grondstoffen (MKR SA COM)</w:t>
      </w:r>
      <w:bookmarkEnd w:id="137"/>
      <w:bookmarkEnd w:id="138"/>
      <w:bookmarkEnd w:id="139"/>
      <w:bookmarkEnd w:id="140"/>
      <w:bookmarkEnd w:id="141"/>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822827"/>
      <w:r>
        <w:rPr>
          <w:rFonts w:ascii="Times New Roman" w:hAnsi="Times New Roman"/>
          <w:sz w:val="24"/>
          <w:u w:val="none"/>
        </w:rPr>
        <w:t>7.1.</w:t>
      </w:r>
      <w:r w:rsidRPr="0006303A">
        <w:rPr>
          <w:u w:val="none"/>
        </w:rPr>
        <w:tab/>
      </w:r>
      <w:r>
        <w:rPr>
          <w:rFonts w:ascii="Times New Roman" w:hAnsi="Times New Roman"/>
          <w:sz w:val="24"/>
        </w:rPr>
        <w:t>Algemene opmerkingen</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In deze template wordt informatie uitgevraagd over de posities in grondstoffen en de daarbij behorende eigenvermogensvereisten, behandeld volgens de standaardbenadering.</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822828"/>
      <w:r>
        <w:rPr>
          <w:rFonts w:ascii="Times New Roman" w:hAnsi="Times New Roman"/>
          <w:sz w:val="24"/>
          <w:u w:val="none"/>
        </w:rPr>
        <w:t>7.2.</w:t>
      </w:r>
      <w:r w:rsidRPr="0006303A">
        <w:rPr>
          <w:u w:val="none"/>
        </w:rPr>
        <w:tab/>
      </w:r>
      <w:r>
        <w:rPr>
          <w:rFonts w:ascii="Times New Roman" w:hAnsi="Times New Roman"/>
          <w:sz w:val="24"/>
        </w:rPr>
        <w:t>Instructies voor specifieke posities</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POSITIES (LONG EN SHORT)</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Bruto long-/shortposities die overeenkomstig artikel 357, lid 4, van Verordening (EU) nr. 575/2013 worden beschouwd als posities in dezelfde grondstof (zie ook artikel 359, lid 1, van die verordening).</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NETTOPOSITIES (LONG EN SHORT)</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Als bedoeld in artikel 357, lid 3, van Verordening (EU) nr.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76" w:type="dxa"/>
          </w:tcPr>
          <w:p w14:paraId="7ADEF1C0" w14:textId="77777777" w:rsidR="000B0B09" w:rsidRPr="002D60D7" w:rsidRDefault="000B0B09" w:rsidP="0006303A">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 EEN KAPITAALVEREISTE ONDERWORPEN POSITIES</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nettoposities waarop overeenkomstig de verschillende in deel drie, titel IV, hoofdstuk 4, van Verordening (EU) nr. 575/2013 beschreven benaderingen een kapitaalvereiste van toepassing is.</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Het eigenvermogensvereiste voor een toepasselijke positie berekend overeenkomstig deel drie, titel IV, hoofdstuk 4, van Verordening (EU) nr. 575/2013.</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Artikel 92, lid 6, punt b), van Verordening (EU) nr.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De uitkomst van de vermenigvuldiging van de eigenvermogensvereisten met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 IN GRONDSTOFFEN</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Posities in grondstoffen en de daarbij behorende eigenvermogensvereisten voor marktrisico overeenkomstig artikel 92, lid 4, punt c), en deel drie, titel IV, hoofdstuk 4, van Verordening (EU) nr. 575/2013.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POSITIES NAAR CATEGORIE GRONDSTOFFEN</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Ten behoeve van de rapportage worden grondstoffen ingedeeld in de vier groepen grondstoffen die in artikel 361, tabel 2, van Verordening (EU) nr. 575/2013 worden genoemd.</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BENADERING OP GROND VAN LOOPTIJDKLASSEN</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Posities in grondstoffen die zijn onderworpen aan de benadering op grond van looptijdklassen als bedoeld in artikel 359 van Verordening (EU) nr.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UITGEBREIDE BENADERING OP GROND VAN LOOPTIJDKLASSEN</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Posities in grondstoffen die zijn onderworpen aan de uitgebreide benadering op grond van looptijdklassen als bedoeld in artikel 361 van Verordening (EU) nr.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VEREENVOUDIGDE BENADERING</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Posities in grondstoffen die zijn onderworpen aan de vereenvoudigde benadering als bedoeld in artikel 360 van Verordening (EU) nr.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Artikel 358, punt 4, van Verordening (EU) nr. 575/2013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822829"/>
      <w:r w:rsidRPr="0006303A">
        <w:rPr>
          <w:rFonts w:ascii="Times New Roman" w:hAnsi="Times New Roman"/>
          <w:sz w:val="24"/>
          <w:u w:val="none"/>
        </w:rPr>
        <w:t>8.</w:t>
      </w:r>
      <w:r w:rsidRPr="0006303A">
        <w:rPr>
          <w:u w:val="none"/>
        </w:rPr>
        <w:tab/>
      </w:r>
      <w:r>
        <w:rPr>
          <w:rFonts w:ascii="Times New Roman" w:hAnsi="Times New Roman"/>
          <w:sz w:val="24"/>
        </w:rPr>
        <w:t>C 24.00 – Interne modellen voor marktrisico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822830"/>
      <w:r>
        <w:rPr>
          <w:rFonts w:ascii="Times New Roman" w:hAnsi="Times New Roman"/>
          <w:sz w:val="24"/>
          <w:u w:val="none"/>
        </w:rPr>
        <w:t>8.1.</w:t>
      </w:r>
      <w:r w:rsidRPr="0006303A">
        <w:rPr>
          <w:u w:val="none"/>
        </w:rPr>
        <w:tab/>
      </w:r>
      <w:r>
        <w:rPr>
          <w:rFonts w:ascii="Times New Roman" w:hAnsi="Times New Roman"/>
          <w:sz w:val="24"/>
        </w:rPr>
        <w:t>Algemene opmerkingen</w:t>
      </w:r>
      <w:bookmarkEnd w:id="159"/>
      <w:bookmarkEnd w:id="160"/>
    </w:p>
    <w:p w14:paraId="2B3D1454" w14:textId="708078C0" w:rsidR="005970B6" w:rsidRPr="002D60D7" w:rsidRDefault="005970B6" w:rsidP="00E172EA">
      <w:pPr>
        <w:pStyle w:val="InstructionsText2"/>
        <w:numPr>
          <w:ilvl w:val="0"/>
          <w:numId w:val="29"/>
        </w:numPr>
        <w:suppressAutoHyphens/>
      </w:pPr>
      <w:r>
        <w:t>Deze template bevat een uitsplitsing van de cijfers van de VaR en de stressed VaR (sVaR) naar de verschillende marktrisico’s (schuld, aandelen, valuta, grondstoffen) en andere voor de berekening van de eigenvermogensvereisten relevante informatie.</w:t>
      </w:r>
    </w:p>
    <w:p w14:paraId="6141A6DE" w14:textId="106A2D11" w:rsidR="005970B6" w:rsidRDefault="005970B6" w:rsidP="00E172EA">
      <w:pPr>
        <w:pStyle w:val="InstructionsText2"/>
        <w:numPr>
          <w:ilvl w:val="0"/>
          <w:numId w:val="29"/>
        </w:numPr>
        <w:suppressAutoHyphens/>
      </w:pPr>
      <w:r>
        <w:t xml:space="preserve">In de regel hangt de rapportage af van de structuur van het model van de beleggingsondernemingen, d.w.z. of de cijfers voor algemeen en specifiek risico afzonderlijk of alleen als totaal kunnen worden bepaald en gerapporteerd. Hetzelfde geldt voor de uitsplitsing van de VaR/stressed VaR naar risicocategorie (renterisico, aandelenrisico, grondstoffenrisico en valutarisico). Een instelling kan afzien van rapportage van die uitsplitsingen als die instelling aantoont dat rapportage van die cijfers te belastend zou zijn.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822831"/>
      <w:r>
        <w:rPr>
          <w:rFonts w:ascii="Times New Roman" w:hAnsi="Times New Roman"/>
          <w:sz w:val="24"/>
          <w:u w:val="none"/>
        </w:rPr>
        <w:t>8.2.</w:t>
      </w:r>
      <w:r w:rsidRPr="0006303A">
        <w:rPr>
          <w:u w:val="none"/>
        </w:rPr>
        <w:tab/>
      </w:r>
      <w:r>
        <w:rPr>
          <w:rFonts w:ascii="Times New Roman" w:hAnsi="Times New Roman"/>
          <w:sz w:val="24"/>
        </w:rPr>
        <w:t>Instructies voor specifieke posities</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Kolommen</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Value-at-Risk (VaR) is het grootste potentiële verlies dat met een gegeven waarschijnlijkheid over een bepaalde tijdhorizon zou ontstaan door een prijsverandering.</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Vermenigvuldigingsfactor (mc) x gemiddelde VaR van voorgaande 60 werkdagen (VaR</w:t>
            </w:r>
            <w:r>
              <w:rPr>
                <w:rFonts w:ascii="Times New Roman" w:hAnsi="Times New Roman"/>
                <w:b/>
                <w:sz w:val="24"/>
                <w:u w:val="single"/>
                <w:vertAlign w:val="subscript"/>
              </w:rPr>
              <w:t>avg</w:t>
            </w:r>
            <w:r>
              <w:rPr>
                <w:rFonts w:ascii="Times New Roman" w:hAnsi="Times New Roman"/>
                <w:b/>
                <w:sz w:val="24"/>
                <w:u w:val="single"/>
              </w:rPr>
              <w:t>)</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 lid 1, punt a), ii), en artikel 365, lid 1, van Verordening (EU) nr.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voorgaande dag (VaR</w:t>
            </w:r>
            <w:r>
              <w:rPr>
                <w:rFonts w:ascii="Times New Roman" w:hAnsi="Times New Roman"/>
                <w:b/>
                <w:sz w:val="24"/>
                <w:u w:val="single"/>
                <w:vertAlign w:val="subscript"/>
              </w:rPr>
              <w:t>t-1</w:t>
            </w:r>
            <w:r>
              <w:rPr>
                <w:rFonts w:ascii="Times New Roman" w:hAnsi="Times New Roman"/>
                <w:b/>
                <w:sz w:val="24"/>
                <w:u w:val="single"/>
              </w:rPr>
              <w:t>)</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 lid 1, punt a), i), en artikel 365, lid 1, van Verordening (EU) nr.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Stressed VaR</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Stressed-Value-at-Risk (sVaR) is het grootste potentiële verlies dat met een gegeven waarschijnlijkheid over een bepaalde tijdhorizon zou ontstaan door een </w:t>
            </w:r>
            <w:r>
              <w:rPr>
                <w:rFonts w:ascii="Times New Roman" w:hAnsi="Times New Roman"/>
                <w:sz w:val="24"/>
              </w:rPr>
              <w:lastRenderedPageBreak/>
              <w:t>prijsverandering, verkregen met aan de hand van historische data geijkte input uit een ononderbroken periode van twaalf maanden van voor de portefeuille van die instelling relevante financiële stress.</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Vermenigvuldigingsfactor (ms) x gemiddelde van voorgaande 60 werkdagen (sVaR</w:t>
            </w:r>
            <w:r>
              <w:rPr>
                <w:rFonts w:ascii="Times New Roman" w:hAnsi="Times New Roman"/>
                <w:b/>
                <w:sz w:val="24"/>
                <w:u w:val="single"/>
                <w:vertAlign w:val="subscript"/>
              </w:rPr>
              <w:t>avg</w:t>
            </w:r>
            <w:r>
              <w:rPr>
                <w:rFonts w:ascii="Times New Roman" w:hAnsi="Times New Roman"/>
                <w:b/>
                <w:sz w:val="24"/>
                <w:u w:val="single"/>
              </w:rPr>
              <w:t>)</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lid 1, punt b), ii), en artikel 365, lid 1, van Verordening (EU) nr.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Meest recent beschikbare (sVaR</w:t>
            </w:r>
            <w:r>
              <w:rPr>
                <w:rFonts w:ascii="Times New Roman" w:hAnsi="Times New Roman"/>
                <w:b/>
                <w:sz w:val="24"/>
                <w:u w:val="single"/>
                <w:vertAlign w:val="subscript"/>
              </w:rPr>
              <w:t>t-1</w:t>
            </w:r>
            <w:r>
              <w:rPr>
                <w:rFonts w:ascii="Times New Roman" w:hAnsi="Times New Roman"/>
                <w:b/>
                <w:sz w:val="24"/>
                <w:u w:val="single"/>
              </w:rPr>
              <w:t>)</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364, lid 1, punt b), i), en artikel 365, lid 1, van Verordening (EU) nr.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KAPITAALVEREISTE VOOR ADDITIONEEL WANBETALINGSRISICO EN MIGRATIERISICO</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Kapitaalvereiste voor additioneel wanbetalingsrisico en voor migratierisico is het grootste potentiële verlies dat zou ontstaan door een prijsverandering in verband met wanbetalingsrisico en migratierisico berekend overeenkomstig artikel 364, lid 2, punt b), in samenhang met deel drie, titel IV, hoofdstuk 5, afdeling 4, van Verordening (EU) nr.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Gemiddelde waarde over de voorgaande twaalf weken</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Artikel 364, lid 2, punt b), ii), in samenhang met deel drie, titel IV, hoofdstuk 5, afdeling 4, van Verordening (EU) nr.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Meest recente waarde</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Artikel 364, lid 2, punt b), i), in samenhang met deel drie, titel IV, hoofdstuk 5, afdeling 4, van Verordening (EU) nr.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KAPITAALVEREISTE VOOR ALLE PRIJSRISICO’S VOOR CTP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ONDERGRENS</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Artikel 364, lid 3, punt c), van Verordening (EU) nr. 575/2013</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van het kapitaalvereiste dat overeenkomstig artikel 338, lid 1, van Verordening (EU) nr. 575/2013 zou zijn berekend voor alle posities in het kapitaalvereiste “alle prijsrisico’s”.</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GEMIDDELDE OVER DE VOORGAANDE TWAALF WEKEN EN MEEST RECENTE WAARDE</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Artikel 364, lid 3, punt b), van Verordening (EU) nr.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MEEST RECENTE WAARDE</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Artikel 364, lid 3, punt a), van Verordening (EU) nr.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69" w:type="dxa"/>
          </w:tcPr>
          <w:p w14:paraId="154C34AA" w14:textId="77777777" w:rsidR="005970B6" w:rsidRPr="002D60D7" w:rsidRDefault="005970B6" w:rsidP="0006303A">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EIGENVERMOGENSVEREISTEN</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Eigenvermogensvereisten overeenkomstig artikel 364 van Verordening (EU) nr. 575/2013 in verband met alle risicofactoren, rekening houdende met correlatie-effecten (indien van toepassing), plus additioneel wanbetalings- en migratierisico en alle prijsrisico’s voor CTP, maar niet met de kapitaalvereisten voor securitisatie en nth-to-default kredietderivaten overeenkomstig artikel 364, lid 2, van die verordening.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RISICOPOSTEN</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Artikel 92, lid 6, punt b), van Verordening (EU) nr.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De uitkomst van de vermenigvuldiging van de eigenvermogensvereisten met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Aantal overschrijdingen (tijdens voorgaande 250 werkdagen)</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Bedoeld in artikel 366 van Verordening (EU) nr. 575/2013.</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Het aantal overschrijdingen op basis waarvan het optelgetal wordt bepaald, wordt gerapporteerd. Wanneer het beleggingsondernemingen is toegestaan bepaalde overschrijdingen uit te sluiten van de berekening van de opslagfactor overeenkomstig artikel 500 quater van Verordening (EU) nr. 575/2013, is het aantal in deze kolom gerapporteerde overschrijdingen exclusief die uitgesloten overschrijdingen.</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VaR-vermenigvuldigingsfactor (mc) en sVaR-vermenigvuldigingsfactor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Als bedoeld in artikel 366 van Verordening (EU) nr. 575/2013.</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De vermenigvuldigingsfactoren die daadwerkelijk van toepassing zijn voor de berekening van eigenvermogensvereisten worden gerapporteerd; in voorkomend geval, na toepassing van artikel 500 quater van Verordening (EU) nr.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GESTELD VEREISTE VOOR CTP-ONDERGRENS – GEWOGEN NETTO LONG/SHORTPOSITIES NA BEGRENZING</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Het bedrag dat wordt gerapporteerd en dient als basis voor het berekenen van de ondergrens voor het kapitaalvereiste voor alle prijsrisico’s overeenkomstig artikel 364, lid 3, punt c), van Verordening (EU) nr. 575/2013, rekening houdende met de in artikel 335 van die verordening beschreven discretie waarbij de instelling het product van het gewicht en de nettopositie mag begrenzen op het maximaal mogelijke met het wanbetalingsrisico samenhangende verlies.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Rijen</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 POSITIES</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Betreft het deel van de in artikel 363, lid 1, van Verordening (EU) nr. 575/2013 bedoelde positie-, valuta- en grondstoffenrisico’s in verband met de in artikel 367, lid 2, van die verordening bedoelde risicofactoren.</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Ten aanzien van de kolommen 0030 t/m 0060 (VaR en sVaR) zijn de cijfers in de rij “totaal” niet gelijk aan de uitsplitsing van de cijfers voor de VaR/sVaR van de betrokken risicocomponenten.</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VERHANDELBARE SCHULDINSTRUMENTEN (TDI’s)</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Betreft het deel van het in artikel 363, lid 1, van Verordening (EU) nr. 575/2013 bedoelde positierisico in verband met de in artikel 367, lid 2, punt a), van die verordening bedoelde renterisicofactoren.</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ALGEMEEN RISICO</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De component “algemeen risico” als bedoeld in artikel 362 van Verordening (EU) nr.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SPECIFIEK RISICO</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De component “specifiek risico” als bedoeld in artikel 362 van Verordening (EU) nr.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Betreft het deel van het in artikel 363, lid 1, van Verordening (EU) nr. 575/2013 bedoelde positierisico in verband met de in artikel 367, lid 2, punt c), van die verordening bedoelde aandelenrisicofactoren.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 ALGEMEEN RISICO</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De component “algemeen risico” als bedoeld in artikel 362 van Verordening (EU) nr.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AANDELEN – SPECIFIEK RISICO</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De component “specifiek risico” als bedoeld in artikel 362 van Verordening (EU) nr.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VALUTARISICO</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Artikel 363, lid 1, en artikel 367, lid 2, punt b), van Verordening (EU) nr.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GRONDSTOFFENRISICO</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Artikel 363, lid 1, en artikel 367, lid 2, punt d), van Verordening (EU) nr.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TOTAALBEDRAG VOOR ALGEMEEN RISICO</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Marktrisico dat het gevolg is van algemene marktontwikkelingen van verhandelbare schuldinstrumenten, aandelen, valuta en grondstoffen. VaR voor algemeen risico van alle risicofactoren (rekening houdende met correlatie-effecten, indien van toepassing).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TOTAALBEDRAG VOOR SPECIFIEK RISICO</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De component “specifiek risico” van verhandelbare schuldinstrumenten en aandelen. VaR voor specifiek risico van aandelen en verhandelbare </w:t>
            </w:r>
            <w:r>
              <w:rPr>
                <w:rStyle w:val="InstructionsTabelleText"/>
                <w:rFonts w:ascii="Times New Roman" w:hAnsi="Times New Roman"/>
                <w:sz w:val="24"/>
              </w:rPr>
              <w:lastRenderedPageBreak/>
              <w:t>schuldinstrumenten van de handelsportefeuille (rekening houdende met correlatie-effecten, indien van toepassing).</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Gedelegeerde Verordening (EU) nr. 525/2014 van de Commissie van 12 maart 2014 tot aanvulling van Verordening (EU) nr. 575/2013 van het Europees Parlement en de Raad met betrekking tot technische reguleringsnormen betreffende eigenvermogensvereisten voor instellingen (PB L 148 van 20.5.2014, blz. 15, 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Uitvoeringsverordening (EU) nr. 945/2014 van de Commissie van 4 september 2014 tot vaststelling van technische uitvoeringsnormen met betrekking tot relevante passend gediversifieerde indexen overeenkomstig Verordening (EU) nr. 575/2013 van het Europees Parlement en de Raad (PB L 265 van 5.9.2014, blz.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Richtlijn 2014/65/EU </w:t>
      </w:r>
      <w:bookmarkStart w:id="129" w:name="_Hlk204078738"/>
      <w:r>
        <w:t>van het Europees Parlement en de Raad</w:t>
      </w:r>
      <w:bookmarkEnd w:id="129"/>
      <w:r>
        <w:t xml:space="preserve"> van 15 mei 2014 betreffende markten voor financiële instrumenten en tot wijziging van Richtlijn 2002/92/EG en Richtlijn 2011/61/EU (PB L 173 van 12.6.2014, blz.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activeWritingStyle w:appName="MSWord" w:lang="nl-NL"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3A"/>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22D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695F"/>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3E62"/>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37D3"/>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1E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566E"/>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105</TotalTime>
  <Pages>24</Pages>
  <Words>6494</Words>
  <Characters>39860</Characters>
  <Application>Microsoft Office Word</Application>
  <DocSecurity>0</DocSecurity>
  <Lines>1100</Lines>
  <Paragraphs>530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IDZERDA Renee (DGT)</cp:lastModifiedBy>
  <cp:revision>11</cp:revision>
  <dcterms:created xsi:type="dcterms:W3CDTF">2025-10-06T12:40:00Z</dcterms:created>
  <dcterms:modified xsi:type="dcterms:W3CDTF">2025-10-08T12:36:00Z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